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F09F1" w14:textId="2BB6DDC6" w:rsidR="003E5281" w:rsidRDefault="00F43C4D" w:rsidP="00A017CB">
      <w:pPr>
        <w:spacing w:after="0" w:line="276" w:lineRule="auto"/>
        <w:jc w:val="center"/>
        <w:rPr>
          <w:rFonts w:ascii="Book Antiqua" w:eastAsia="Book Antiqua" w:hAnsi="Book Antiqua" w:cs="Book Antiqua"/>
          <w:b/>
          <w:bCs/>
        </w:rPr>
      </w:pPr>
      <w:r w:rsidRPr="00F43C4D">
        <w:rPr>
          <w:rFonts w:ascii="Book Antiqua" w:eastAsia="Book Antiqua" w:hAnsi="Book Antiqua" w:cs="Book Antiqua"/>
          <w:b/>
          <w:bCs/>
        </w:rPr>
        <w:t>TESE PARA DEMANDAS DE EXECUÇÃO DE ALIMENTOS:</w:t>
      </w:r>
    </w:p>
    <w:p w14:paraId="2166AFE7" w14:textId="7B76E284" w:rsidR="00F43C4D" w:rsidRDefault="00F43C4D" w:rsidP="00A017CB">
      <w:pPr>
        <w:spacing w:after="0" w:line="276" w:lineRule="auto"/>
        <w:jc w:val="center"/>
        <w:rPr>
          <w:rFonts w:ascii="Book Antiqua" w:eastAsia="Book Antiqua" w:hAnsi="Book Antiqua" w:cs="Book Antiqua"/>
          <w:b/>
          <w:bCs/>
        </w:rPr>
      </w:pPr>
    </w:p>
    <w:p w14:paraId="1ADCEB99" w14:textId="77777777" w:rsidR="00F43C4D" w:rsidRPr="00F43C4D" w:rsidRDefault="00F43C4D" w:rsidP="00A017CB">
      <w:pPr>
        <w:spacing w:after="0" w:line="276" w:lineRule="auto"/>
        <w:jc w:val="center"/>
        <w:rPr>
          <w:rFonts w:ascii="Book Antiqua" w:eastAsia="Book Antiqua" w:hAnsi="Book Antiqua" w:cs="Book Antiqua"/>
          <w:b/>
          <w:bCs/>
        </w:rPr>
      </w:pPr>
    </w:p>
    <w:p w14:paraId="4B574ACC" w14:textId="6EDD5583" w:rsidR="00F43C4D" w:rsidRDefault="00F43C4D" w:rsidP="00A017CB">
      <w:pPr>
        <w:spacing w:after="0" w:line="276" w:lineRule="auto"/>
        <w:jc w:val="center"/>
        <w:rPr>
          <w:rFonts w:ascii="Book Antiqua" w:eastAsia="Book Antiqua" w:hAnsi="Book Antiqua" w:cs="Book Antiqua"/>
        </w:rPr>
      </w:pPr>
    </w:p>
    <w:p w14:paraId="3C2687E3" w14:textId="284719FC" w:rsidR="00F43C4D" w:rsidRDefault="00F43C4D" w:rsidP="00F43C4D">
      <w:pPr>
        <w:spacing w:after="0" w:line="276" w:lineRule="auto"/>
        <w:jc w:val="both"/>
        <w:rPr>
          <w:rFonts w:ascii="Book Antiqua" w:eastAsia="Book Antiqua" w:hAnsi="Book Antiqua" w:cs="Book Antiqua"/>
          <w:b/>
          <w:bCs/>
        </w:rPr>
      </w:pPr>
      <w:r w:rsidRPr="00F43C4D">
        <w:rPr>
          <w:rFonts w:ascii="Book Antiqua" w:eastAsia="Book Antiqua" w:hAnsi="Book Antiqua" w:cs="Book Antiqua"/>
          <w:b/>
          <w:bCs/>
        </w:rPr>
        <w:t xml:space="preserve">- DA PENHORA DAS MILHAS ÁREAS: </w:t>
      </w:r>
    </w:p>
    <w:p w14:paraId="4ABCA460" w14:textId="41FAC9D2" w:rsidR="00F43C4D" w:rsidRDefault="00F43C4D" w:rsidP="00F43C4D">
      <w:pPr>
        <w:spacing w:after="0" w:line="276" w:lineRule="auto"/>
        <w:jc w:val="both"/>
        <w:rPr>
          <w:rFonts w:ascii="Book Antiqua" w:eastAsia="Book Antiqua" w:hAnsi="Book Antiqua" w:cs="Book Antiqua"/>
          <w:b/>
          <w:bCs/>
        </w:rPr>
      </w:pPr>
    </w:p>
    <w:p w14:paraId="4D1D5A0D" w14:textId="4715C41C" w:rsidR="00F43C4D" w:rsidRPr="006350ED" w:rsidRDefault="00F43C4D" w:rsidP="008D7FC6">
      <w:pPr>
        <w:spacing w:after="0" w:line="276" w:lineRule="auto"/>
        <w:ind w:firstLine="720"/>
        <w:jc w:val="both"/>
        <w:rPr>
          <w:rFonts w:ascii="Book Antiqua" w:eastAsia="Book Antiqua" w:hAnsi="Book Antiqua" w:cs="Book Antiqua"/>
          <w:color w:val="000000" w:themeColor="text1"/>
          <w:sz w:val="24"/>
          <w:szCs w:val="24"/>
        </w:rPr>
      </w:pPr>
      <w:r w:rsidRPr="006350ED">
        <w:rPr>
          <w:rFonts w:ascii="Book Antiqua" w:eastAsia="Book Antiqua" w:hAnsi="Book Antiqua" w:cs="Book Antiqua"/>
          <w:color w:val="000000" w:themeColor="text1"/>
          <w:sz w:val="24"/>
          <w:szCs w:val="24"/>
        </w:rPr>
        <w:t>Diante de uma possibilidade de conseguir</w:t>
      </w:r>
      <w:r w:rsidR="006350ED" w:rsidRPr="006350ED">
        <w:rPr>
          <w:rFonts w:ascii="Book Antiqua" w:eastAsia="Book Antiqua" w:hAnsi="Book Antiqua" w:cs="Book Antiqua"/>
          <w:color w:val="000000" w:themeColor="text1"/>
          <w:sz w:val="24"/>
          <w:szCs w:val="24"/>
        </w:rPr>
        <w:t xml:space="preserve"> o cumprimento da obrigação alimentar, requer deste juízo a PENHORA DAS MILHAS ÁERAS DO DEVEDOR DOS ALIMENTOS.</w:t>
      </w:r>
    </w:p>
    <w:p w14:paraId="2911402A" w14:textId="15D74482" w:rsidR="006350ED" w:rsidRPr="006350ED" w:rsidRDefault="006350ED" w:rsidP="008D7FC6">
      <w:pPr>
        <w:spacing w:after="0" w:line="276" w:lineRule="auto"/>
        <w:ind w:firstLine="720"/>
        <w:jc w:val="both"/>
        <w:rPr>
          <w:rFonts w:ascii="Book Antiqua" w:eastAsia="Book Antiqua" w:hAnsi="Book Antiqua" w:cs="Book Antiqua"/>
          <w:color w:val="000000" w:themeColor="text1"/>
          <w:sz w:val="24"/>
          <w:szCs w:val="24"/>
        </w:rPr>
      </w:pPr>
    </w:p>
    <w:p w14:paraId="050B4D54" w14:textId="71C3AF5F" w:rsidR="006350ED" w:rsidRPr="006350ED" w:rsidRDefault="006350ED" w:rsidP="008D7FC6">
      <w:pPr>
        <w:spacing w:after="0" w:line="276" w:lineRule="auto"/>
        <w:ind w:firstLine="720"/>
        <w:jc w:val="both"/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</w:pPr>
      <w:r w:rsidRPr="006350ED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>Muitas d</w:t>
      </w:r>
      <w:r w:rsidRPr="006350ED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ecisões recentes </w:t>
      </w:r>
      <w:r w:rsidRPr="006350ED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>na</w:t>
      </w:r>
      <w:r w:rsidRPr="006350ED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 Justiça do Trabalho </w:t>
      </w:r>
      <w:r w:rsidR="008D7FC6" w:rsidRPr="006350ED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>e</w:t>
      </w:r>
      <w:r w:rsidRPr="006350ED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 perante a</w:t>
      </w:r>
      <w:r w:rsidRPr="006350ED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> Justiça comum têm determinado a penhora de milhas aéreas de devedores, na ausência de dinheiro ou bens para quitar condenações judiciais.</w:t>
      </w:r>
    </w:p>
    <w:p w14:paraId="3E7F9A2E" w14:textId="404AB845" w:rsidR="006350ED" w:rsidRPr="006350ED" w:rsidRDefault="006350ED" w:rsidP="008D7FC6">
      <w:pPr>
        <w:spacing w:after="0" w:line="276" w:lineRule="auto"/>
        <w:ind w:firstLine="720"/>
        <w:jc w:val="both"/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</w:pPr>
    </w:p>
    <w:p w14:paraId="5205810A" w14:textId="77777777" w:rsidR="006350ED" w:rsidRPr="006350ED" w:rsidRDefault="006350ED" w:rsidP="008D7FC6">
      <w:pPr>
        <w:spacing w:after="0" w:line="276" w:lineRule="auto"/>
        <w:ind w:firstLine="720"/>
        <w:jc w:val="both"/>
        <w:rPr>
          <w:rFonts w:ascii="Book Antiqua" w:eastAsia="Times New Roman" w:hAnsi="Book Antiqua" w:cs="Times New Roman"/>
          <w:color w:val="000000" w:themeColor="text1"/>
          <w:sz w:val="24"/>
          <w:szCs w:val="24"/>
        </w:rPr>
      </w:pPr>
      <w:r w:rsidRPr="006350ED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As decisões são pautadas no </w:t>
      </w:r>
      <w:r w:rsidRPr="006350ED">
        <w:rPr>
          <w:rFonts w:ascii="Book Antiqua" w:eastAsia="Times New Roman" w:hAnsi="Book Antiqua" w:cs="Times New Roman"/>
          <w:color w:val="000000" w:themeColor="text1"/>
          <w:sz w:val="24"/>
          <w:szCs w:val="24"/>
        </w:rPr>
        <w:t>decisões no artigo 789 do Código de Processo Civil (CPC). O dispositivo prevê que o devedor responde com todos os bens presentes e futuros para cumprir as obrigações, salvo as restrições estabelecidas em lei.</w:t>
      </w:r>
    </w:p>
    <w:p w14:paraId="77609FE1" w14:textId="77777777" w:rsidR="006350ED" w:rsidRPr="006350ED" w:rsidRDefault="006350ED" w:rsidP="008D7FC6">
      <w:pPr>
        <w:spacing w:after="0" w:line="276" w:lineRule="auto"/>
        <w:ind w:firstLine="720"/>
        <w:jc w:val="both"/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</w:pPr>
    </w:p>
    <w:p w14:paraId="0D134621" w14:textId="7309E128" w:rsidR="006350ED" w:rsidRPr="006350ED" w:rsidRDefault="006350ED" w:rsidP="008D7FC6">
      <w:pPr>
        <w:spacing w:after="0" w:line="276" w:lineRule="auto"/>
        <w:ind w:firstLine="720"/>
        <w:jc w:val="both"/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</w:pPr>
      <w:r w:rsidRPr="006350ED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>Importante pontuar que muitas decisões</w:t>
      </w:r>
      <w:r w:rsidRPr="006350ED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 vêm aceitando os pedidos dos credores, que alegam que esses pontos têm expressão econômica e são comercializados em troca de dinheiro ou produtos.</w:t>
      </w:r>
    </w:p>
    <w:p w14:paraId="54FCAF6F" w14:textId="7CE306EB" w:rsidR="006350ED" w:rsidRPr="006350ED" w:rsidRDefault="006350ED" w:rsidP="008D7FC6">
      <w:pPr>
        <w:spacing w:after="0" w:line="276" w:lineRule="auto"/>
        <w:ind w:firstLine="720"/>
        <w:jc w:val="both"/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</w:pPr>
    </w:p>
    <w:p w14:paraId="0621D2A0" w14:textId="66205148" w:rsidR="008D7FC6" w:rsidRDefault="006350ED" w:rsidP="008D7FC6">
      <w:pPr>
        <w:pStyle w:val="NormalWeb"/>
        <w:spacing w:before="0" w:beforeAutospacing="0" w:after="0" w:afterAutospacing="0" w:line="276" w:lineRule="auto"/>
        <w:ind w:firstLine="720"/>
        <w:jc w:val="both"/>
        <w:rPr>
          <w:rFonts w:ascii="Book Antiqua" w:hAnsi="Book Antiqua"/>
          <w:color w:val="000000" w:themeColor="text1"/>
        </w:rPr>
      </w:pPr>
      <w:r w:rsidRPr="006350ED">
        <w:rPr>
          <w:rFonts w:ascii="Book Antiqua" w:hAnsi="Book Antiqua" w:cs="Segoe UI"/>
          <w:color w:val="000000" w:themeColor="text1"/>
          <w:shd w:val="clear" w:color="auto" w:fill="FFFFFF"/>
        </w:rPr>
        <w:t xml:space="preserve">É necessário esclarecer que as milhas são até partilháveis, pois, </w:t>
      </w:r>
      <w:r w:rsidRPr="006350ED">
        <w:rPr>
          <w:rFonts w:ascii="Book Antiqua" w:hAnsi="Book Antiqua"/>
          <w:color w:val="000000" w:themeColor="text1"/>
        </w:rPr>
        <w:t>integram</w:t>
      </w:r>
      <w:r w:rsidRPr="006350ED">
        <w:rPr>
          <w:rFonts w:ascii="Book Antiqua" w:hAnsi="Book Antiqua"/>
          <w:color w:val="000000" w:themeColor="text1"/>
        </w:rPr>
        <w:t xml:space="preserve"> os patrimônios pessoais, sendo indiscutível o seu valor econômico, uma vez que podem ser trocados por produtos e serviços ou ainda ser vendidos a terceiros, por meio de agências especializadas.</w:t>
      </w:r>
      <w:r w:rsidR="008D7FC6">
        <w:rPr>
          <w:rFonts w:ascii="Book Antiqua" w:hAnsi="Book Antiqua"/>
          <w:color w:val="000000" w:themeColor="text1"/>
        </w:rPr>
        <w:t xml:space="preserve"> Senão vejamos este acordão:</w:t>
      </w:r>
    </w:p>
    <w:p w14:paraId="00DB1D36" w14:textId="77777777" w:rsidR="008D7FC6" w:rsidRPr="008D7FC6" w:rsidRDefault="008D7FC6" w:rsidP="008D7FC6">
      <w:pPr>
        <w:pStyle w:val="NormalWeb"/>
        <w:spacing w:before="0" w:beforeAutospacing="0" w:after="0" w:afterAutospacing="0" w:line="276" w:lineRule="auto"/>
        <w:ind w:firstLine="720"/>
        <w:jc w:val="both"/>
        <w:rPr>
          <w:rFonts w:ascii="Book Antiqua" w:hAnsi="Book Antiqua"/>
          <w:color w:val="000000" w:themeColor="text1"/>
        </w:rPr>
      </w:pPr>
    </w:p>
    <w:p w14:paraId="453934E4" w14:textId="77777777" w:rsidR="008D7FC6" w:rsidRPr="008D7FC6" w:rsidRDefault="008D7FC6" w:rsidP="008D7FC6">
      <w:pPr>
        <w:spacing w:after="0" w:line="276" w:lineRule="auto"/>
        <w:ind w:left="1701"/>
        <w:jc w:val="both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8D7FC6">
        <w:rPr>
          <w:rFonts w:ascii="Book Antiqua" w:eastAsia="Times New Roman" w:hAnsi="Book Antiqua" w:cs="Segoe UI"/>
          <w:b/>
          <w:bCs/>
          <w:color w:val="333333"/>
          <w:sz w:val="20"/>
          <w:szCs w:val="20"/>
          <w:shd w:val="clear" w:color="auto" w:fill="FFFFFF"/>
        </w:rPr>
        <w:t>O relator, desembargador Luiz Carlos Gomes da Mata, afirma, no voto, que “pontos e milhagens de programas de fidelidade possuem, sim, valor monetário, e não há impedimento à conversão em valores, já que, existem várias empresas especializadas que comercializam milhas aéreas” (AI nº 100241311678112001).</w:t>
      </w:r>
    </w:p>
    <w:p w14:paraId="780B3EC2" w14:textId="62738E30" w:rsidR="008D7FC6" w:rsidRPr="008D7FC6" w:rsidRDefault="008D7FC6" w:rsidP="008D7FC6">
      <w:pPr>
        <w:spacing w:after="0" w:line="276" w:lineRule="auto"/>
        <w:ind w:firstLine="720"/>
        <w:jc w:val="both"/>
        <w:rPr>
          <w:rFonts w:ascii="Book Antiqua" w:eastAsia="Times New Roman" w:hAnsi="Book Antiqua" w:cs="Times New Roman"/>
          <w:color w:val="000000" w:themeColor="text1"/>
          <w:sz w:val="24"/>
          <w:szCs w:val="24"/>
        </w:rPr>
      </w:pPr>
    </w:p>
    <w:p w14:paraId="0069AA2A" w14:textId="7695D000" w:rsidR="008D7FC6" w:rsidRPr="008D7FC6" w:rsidRDefault="008D7FC6" w:rsidP="008D7FC6">
      <w:pPr>
        <w:spacing w:after="0" w:line="276" w:lineRule="auto"/>
        <w:ind w:firstLine="720"/>
        <w:jc w:val="both"/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</w:pPr>
      <w:r w:rsidRPr="008D7FC6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lastRenderedPageBreak/>
        <w:t xml:space="preserve">Tudo que tem valor pode ser monetizado e virar dinheiro, pode ser transferido ou penhorado para quitar dívidas, com exceção das vedações legais como bem de família ou </w:t>
      </w:r>
      <w:r w:rsidRPr="008D7FC6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salário, </w:t>
      </w:r>
    </w:p>
    <w:p w14:paraId="6EE27677" w14:textId="77777777" w:rsidR="008D7FC6" w:rsidRPr="008D7FC6" w:rsidRDefault="008D7FC6" w:rsidP="008D7FC6">
      <w:pPr>
        <w:spacing w:after="0" w:line="276" w:lineRule="auto"/>
        <w:ind w:firstLine="720"/>
        <w:jc w:val="both"/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</w:pPr>
    </w:p>
    <w:p w14:paraId="41EF62BF" w14:textId="2BD308EB" w:rsidR="008D7FC6" w:rsidRPr="008D7FC6" w:rsidRDefault="008D7FC6" w:rsidP="008D7FC6">
      <w:pPr>
        <w:spacing w:after="0" w:line="276" w:lineRule="auto"/>
        <w:ind w:firstLine="720"/>
        <w:jc w:val="both"/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</w:pPr>
      <w:r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As </w:t>
      </w:r>
      <w:r w:rsidRPr="008D7FC6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milhas </w:t>
      </w:r>
      <w:r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possuem um enorme </w:t>
      </w:r>
      <w:r w:rsidRPr="008D7FC6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valor em </w:t>
      </w:r>
      <w:proofErr w:type="gramStart"/>
      <w:r w:rsidRPr="008D7FC6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dinheiro, </w:t>
      </w:r>
      <w:r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 inclusive</w:t>
      </w:r>
      <w:proofErr w:type="gramEnd"/>
      <w:r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, as mesmas são vendidas em sites, são passiveis de negociação, </w:t>
      </w:r>
      <w:r w:rsidRPr="008D7FC6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avaliação e </w:t>
      </w:r>
      <w:r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 xml:space="preserve">até mesmo </w:t>
      </w:r>
      <w:r w:rsidRPr="008D7FC6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>transferência, qualquer tipo de decisão que defira a penhora desse tipo de ativo é uma decisão legal, com fundamento no Código de Processo Civil</w:t>
      </w:r>
      <w:r w:rsidRPr="008D7FC6">
        <w:rPr>
          <w:rFonts w:ascii="Book Antiqua" w:eastAsia="Times New Roman" w:hAnsi="Book Antiqua" w:cs="Segoe UI"/>
          <w:color w:val="000000" w:themeColor="text1"/>
          <w:sz w:val="24"/>
          <w:szCs w:val="24"/>
          <w:shd w:val="clear" w:color="auto" w:fill="FFFFFF"/>
        </w:rPr>
        <w:t>.</w:t>
      </w:r>
    </w:p>
    <w:p w14:paraId="0622AF11" w14:textId="4034B0B3" w:rsidR="008D7FC6" w:rsidRPr="008D7FC6" w:rsidRDefault="008D7FC6" w:rsidP="008D7FC6">
      <w:pPr>
        <w:spacing w:after="0" w:line="276" w:lineRule="auto"/>
        <w:ind w:firstLine="720"/>
        <w:jc w:val="both"/>
        <w:rPr>
          <w:rFonts w:ascii="Book Antiqua" w:eastAsia="Times New Roman" w:hAnsi="Book Antiqua" w:cs="Times New Roman"/>
          <w:color w:val="000000" w:themeColor="text1"/>
          <w:sz w:val="24"/>
          <w:szCs w:val="24"/>
        </w:rPr>
      </w:pPr>
    </w:p>
    <w:p w14:paraId="7A09525A" w14:textId="77777777" w:rsidR="008D7FC6" w:rsidRPr="008D7FC6" w:rsidRDefault="008D7FC6" w:rsidP="008D7FC6">
      <w:pPr>
        <w:spacing w:after="0" w:line="276" w:lineRule="auto"/>
        <w:ind w:firstLine="720"/>
        <w:jc w:val="both"/>
        <w:rPr>
          <w:rFonts w:ascii="Book Antiqua" w:eastAsia="Times New Roman" w:hAnsi="Book Antiqua" w:cs="Times New Roman"/>
          <w:color w:val="000000" w:themeColor="text1"/>
          <w:sz w:val="24"/>
          <w:szCs w:val="24"/>
        </w:rPr>
      </w:pPr>
      <w:r w:rsidRPr="008D7FC6">
        <w:rPr>
          <w:rFonts w:ascii="Book Antiqua" w:eastAsia="Times New Roman" w:hAnsi="Book Antiqua" w:cs="Times New Roman"/>
          <w:color w:val="000000" w:themeColor="text1"/>
          <w:sz w:val="24"/>
          <w:szCs w:val="24"/>
        </w:rPr>
        <w:t>Diante do exposto, requer, deste juízo que autorize a PENHORA DAS MILHAS DA EMPRESA AEREA XXXX (gol, azul, latam), no sentindo de converter as milhas áreas em valores de modo que ocorra o cumprimento da obrigação alimentar.</w:t>
      </w:r>
    </w:p>
    <w:p w14:paraId="406B9393" w14:textId="77777777" w:rsidR="008D7FC6" w:rsidRPr="006350ED" w:rsidRDefault="008D7FC6" w:rsidP="006350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6BDA02" w14:textId="77777777" w:rsidR="006350ED" w:rsidRPr="00F43C4D" w:rsidRDefault="006350ED" w:rsidP="00F43C4D">
      <w:pPr>
        <w:spacing w:after="0" w:line="276" w:lineRule="auto"/>
        <w:jc w:val="both"/>
        <w:rPr>
          <w:rFonts w:ascii="Book Antiqua" w:eastAsia="Book Antiqua" w:hAnsi="Book Antiqua" w:cs="Book Antiqua"/>
          <w:b/>
          <w:bCs/>
        </w:rPr>
      </w:pPr>
    </w:p>
    <w:sectPr w:rsidR="006350ED" w:rsidRPr="00F43C4D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D5C53" w14:textId="77777777" w:rsidR="00830E51" w:rsidRDefault="00830E51">
      <w:pPr>
        <w:spacing w:after="0" w:line="240" w:lineRule="auto"/>
      </w:pPr>
      <w:r>
        <w:separator/>
      </w:r>
    </w:p>
  </w:endnote>
  <w:endnote w:type="continuationSeparator" w:id="0">
    <w:p w14:paraId="0EECA1CD" w14:textId="77777777" w:rsidR="00830E51" w:rsidRDefault="0083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NebraskaPlain">
    <w:panose1 w:val="020B0604020202020204"/>
    <w:charset w:val="00"/>
    <w:family w:val="roman"/>
    <w:notTrueType/>
    <w:pitch w:val="default"/>
  </w:font>
  <w:font w:name="NebraskaItalic"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E64DD" w14:textId="77777777" w:rsidR="00830E51" w:rsidRDefault="00830E51">
      <w:pPr>
        <w:spacing w:after="0" w:line="240" w:lineRule="auto"/>
      </w:pPr>
      <w:r>
        <w:separator/>
      </w:r>
    </w:p>
  </w:footnote>
  <w:footnote w:type="continuationSeparator" w:id="0">
    <w:p w14:paraId="226A9C05" w14:textId="77777777" w:rsidR="00830E51" w:rsidRDefault="00830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50C89" w14:textId="4AC1621A" w:rsidR="00CD7C71" w:rsidRDefault="00CD7C71" w:rsidP="00CD7C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rFonts w:eastAsia="Calibri"/>
        <w:color w:val="000000"/>
      </w:rPr>
    </w:pPr>
    <w:r w:rsidRPr="00CD7C71">
      <w:rPr>
        <w:rFonts w:eastAsia="Calibri"/>
        <w:noProof/>
        <w:color w:val="000000"/>
      </w:rPr>
      <w:drawing>
        <wp:inline distT="0" distB="0" distL="0" distR="0" wp14:anchorId="62120426" wp14:editId="0231CB0B">
          <wp:extent cx="2178685" cy="1507788"/>
          <wp:effectExtent l="0" t="0" r="0" b="0"/>
          <wp:docPr id="1" name="Imagem 1" descr="Forma, Se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Forma, Set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8685" cy="1507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017CB" w:rsidRPr="00CD7C71">
      <w:rPr>
        <w:rFonts w:eastAsia="Calibri"/>
        <w:noProof/>
        <w:color w:val="000000"/>
      </w:rPr>
      <w:drawing>
        <wp:inline distT="0" distB="0" distL="0" distR="0" wp14:anchorId="77DD6186" wp14:editId="571AFC63">
          <wp:extent cx="3064213" cy="1536541"/>
          <wp:effectExtent l="0" t="0" r="0" b="0"/>
          <wp:docPr id="3" name="Imagem 3" descr="Uma imagem contendo Fo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ntendo Forma&#10;&#10;Descrição gerada automaticament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354497" cy="1682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AD0B11" w14:textId="4B4EB6FE" w:rsidR="003E5281" w:rsidRDefault="003E5281" w:rsidP="00CD7C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rFonts w:eastAsia="Calibri"/>
        <w:color w:val="000000"/>
      </w:rPr>
    </w:pPr>
  </w:p>
  <w:p w14:paraId="488E7127" w14:textId="77777777" w:rsidR="003E5281" w:rsidRDefault="003E528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50758"/>
    <w:multiLevelType w:val="multilevel"/>
    <w:tmpl w:val="BD8C2D52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2C370324"/>
    <w:multiLevelType w:val="multilevel"/>
    <w:tmpl w:val="6950C27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642A6DE2"/>
    <w:multiLevelType w:val="hybridMultilevel"/>
    <w:tmpl w:val="AEEC4282"/>
    <w:lvl w:ilvl="0" w:tplc="C750FC54">
      <w:start w:val="1"/>
      <w:numFmt w:val="upperRoman"/>
      <w:lvlText w:val="%1-"/>
      <w:lvlJc w:val="left"/>
      <w:pPr>
        <w:ind w:left="1080" w:hanging="720"/>
      </w:pPr>
      <w:rPr>
        <w:rFonts w:eastAsia="Book Antiqua" w:cs="Book Antiqua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835952">
    <w:abstractNumId w:val="0"/>
  </w:num>
  <w:num w:numId="2" w16cid:durableId="1417164373">
    <w:abstractNumId w:val="1"/>
  </w:num>
  <w:num w:numId="3" w16cid:durableId="1557626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281"/>
    <w:rsid w:val="00104AB0"/>
    <w:rsid w:val="002B7617"/>
    <w:rsid w:val="002C0A60"/>
    <w:rsid w:val="00371655"/>
    <w:rsid w:val="003820FB"/>
    <w:rsid w:val="003E5281"/>
    <w:rsid w:val="004E6185"/>
    <w:rsid w:val="00592053"/>
    <w:rsid w:val="005E374C"/>
    <w:rsid w:val="006350ED"/>
    <w:rsid w:val="006716D8"/>
    <w:rsid w:val="00830E51"/>
    <w:rsid w:val="008D7FC6"/>
    <w:rsid w:val="009D391B"/>
    <w:rsid w:val="009E6B42"/>
    <w:rsid w:val="00A017CB"/>
    <w:rsid w:val="00A05FBB"/>
    <w:rsid w:val="00A72A6C"/>
    <w:rsid w:val="00B52149"/>
    <w:rsid w:val="00C05229"/>
    <w:rsid w:val="00CD7C71"/>
    <w:rsid w:val="00EC3077"/>
    <w:rsid w:val="00F43C4D"/>
    <w:rsid w:val="00FD0532"/>
    <w:rsid w:val="00FF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03BEAA"/>
  <w15:docId w15:val="{5C1587E1-A4FA-C148-8512-8936E4F2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C76"/>
    <w:rPr>
      <w:rFonts w:eastAsiaTheme="minorEastAsi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233C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3C76"/>
  </w:style>
  <w:style w:type="paragraph" w:styleId="Rodap">
    <w:name w:val="footer"/>
    <w:basedOn w:val="Normal"/>
    <w:link w:val="RodapChar"/>
    <w:uiPriority w:val="99"/>
    <w:unhideWhenUsed/>
    <w:rsid w:val="00233C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3C76"/>
  </w:style>
  <w:style w:type="paragraph" w:customStyle="1" w:styleId="Textoc10">
    <w:name w:val="Texto_c10"/>
    <w:basedOn w:val="Normal"/>
    <w:uiPriority w:val="99"/>
    <w:qFormat/>
    <w:rsid w:val="00233C76"/>
    <w:pPr>
      <w:widowControl w:val="0"/>
      <w:autoSpaceDE w:val="0"/>
      <w:autoSpaceDN w:val="0"/>
      <w:adjustRightInd w:val="0"/>
      <w:spacing w:before="227" w:after="0" w:line="230" w:lineRule="atLeast"/>
      <w:ind w:firstLine="1701"/>
      <w:jc w:val="both"/>
      <w:textAlignment w:val="center"/>
    </w:pPr>
    <w:rPr>
      <w:rFonts w:ascii="MinionPro-Regular" w:hAnsi="MinionPro-Regular" w:cs="MinionPro-Regular"/>
      <w:color w:val="000000"/>
      <w:sz w:val="21"/>
      <w:szCs w:val="21"/>
    </w:rPr>
  </w:style>
  <w:style w:type="paragraph" w:customStyle="1" w:styleId="Textoc1010">
    <w:name w:val="Texto_c10_+10"/>
    <w:basedOn w:val="Textoc10"/>
    <w:qFormat/>
    <w:rsid w:val="00233C76"/>
    <w:rPr>
      <w:spacing w:val="2"/>
    </w:rPr>
  </w:style>
  <w:style w:type="character" w:customStyle="1" w:styleId="Boldblackitalic">
    <w:name w:val="Bold_black_italic"/>
    <w:uiPriority w:val="99"/>
    <w:qFormat/>
    <w:rsid w:val="00233C76"/>
    <w:rPr>
      <w:i/>
      <w:iCs/>
    </w:rPr>
  </w:style>
  <w:style w:type="paragraph" w:styleId="PargrafodaLista">
    <w:name w:val="List Paragraph"/>
    <w:basedOn w:val="Normal"/>
    <w:uiPriority w:val="34"/>
    <w:qFormat/>
    <w:rsid w:val="00233C76"/>
    <w:pPr>
      <w:widowControl w:val="0"/>
      <w:spacing w:after="200" w:line="240" w:lineRule="auto"/>
      <w:ind w:left="720"/>
      <w:contextualSpacing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extoc10se">
    <w:name w:val="Texto_c10_s/e"/>
    <w:basedOn w:val="Textoc10"/>
    <w:uiPriority w:val="99"/>
    <w:rsid w:val="000B3CF0"/>
    <w:pPr>
      <w:spacing w:before="0"/>
      <w:textAlignment w:val="auto"/>
    </w:pPr>
  </w:style>
  <w:style w:type="paragraph" w:customStyle="1" w:styleId="Textoc1011">
    <w:name w:val="Texto_c10_11"/>
    <w:aliases w:val="5"/>
    <w:basedOn w:val="Textoc10"/>
    <w:uiPriority w:val="99"/>
    <w:rsid w:val="000B3CF0"/>
    <w:pPr>
      <w:spacing w:before="198"/>
      <w:textAlignment w:val="auto"/>
    </w:pPr>
  </w:style>
  <w:style w:type="character" w:customStyle="1" w:styleId="Boldblack">
    <w:name w:val="Bold_black"/>
    <w:uiPriority w:val="99"/>
    <w:rsid w:val="000B3CF0"/>
    <w:rPr>
      <w:b/>
      <w:bCs/>
    </w:rPr>
  </w:style>
  <w:style w:type="character" w:customStyle="1" w:styleId="Numeral">
    <w:name w:val="Numeral"/>
    <w:uiPriority w:val="99"/>
    <w:rsid w:val="000B3CF0"/>
    <w:rPr>
      <w:rFonts w:ascii="NebraskaPlain" w:hAnsi="NebraskaPlain" w:cs="NebraskaPlain" w:hint="default"/>
    </w:rPr>
  </w:style>
  <w:style w:type="paragraph" w:customStyle="1" w:styleId="Textoc10-10">
    <w:name w:val="Texto_c10_-10"/>
    <w:basedOn w:val="Textoc10"/>
    <w:uiPriority w:val="99"/>
    <w:rsid w:val="0019756A"/>
    <w:rPr>
      <w:spacing w:val="-2"/>
    </w:rPr>
  </w:style>
  <w:style w:type="paragraph" w:customStyle="1" w:styleId="Titc10bold">
    <w:name w:val="Tit_c10_bold"/>
    <w:basedOn w:val="Textoc10"/>
    <w:uiPriority w:val="99"/>
    <w:rsid w:val="0019756A"/>
    <w:pPr>
      <w:keepNext/>
      <w:spacing w:before="397" w:after="57"/>
      <w:ind w:firstLine="0"/>
    </w:pPr>
  </w:style>
  <w:style w:type="paragraph" w:customStyle="1" w:styleId="Textoc10centro">
    <w:name w:val="Texto_c10_centro"/>
    <w:basedOn w:val="Textoc10"/>
    <w:uiPriority w:val="99"/>
    <w:rsid w:val="0019756A"/>
    <w:pPr>
      <w:spacing w:before="85"/>
      <w:ind w:firstLine="0"/>
      <w:jc w:val="center"/>
    </w:pPr>
  </w:style>
  <w:style w:type="character" w:customStyle="1" w:styleId="Italic">
    <w:name w:val="Italic"/>
    <w:uiPriority w:val="99"/>
    <w:rsid w:val="0019756A"/>
    <w:rPr>
      <w:i/>
      <w:iCs/>
    </w:rPr>
  </w:style>
  <w:style w:type="character" w:customStyle="1" w:styleId="Numeralitalic">
    <w:name w:val="Numeral_italic"/>
    <w:uiPriority w:val="99"/>
    <w:rsid w:val="0019756A"/>
    <w:rPr>
      <w:rFonts w:ascii="NebraskaItalic" w:hAnsi="NebraskaItalic" w:cs="NebraskaItalic"/>
      <w:i/>
      <w:i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D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6350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4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OHYkqpZTgQ5ul31USEIxF4IAWw==">AMUW2mWPYHF49MoknNQTIIN2ba0R+QXBsC7mbtj0iIhsSUxIRkrlzI1OPbf0s93ybcwg9x0SrZb4TxZ/BBE/LXCFurCEi2ULu+QpUZeA9sUztIUbGFSF1zg=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C Mota</dc:creator>
  <cp:lastModifiedBy>Ana Grazielli Souza Santos</cp:lastModifiedBy>
  <cp:revision>2</cp:revision>
  <dcterms:created xsi:type="dcterms:W3CDTF">2022-07-27T00:37:00Z</dcterms:created>
  <dcterms:modified xsi:type="dcterms:W3CDTF">2022-07-27T00:37:00Z</dcterms:modified>
</cp:coreProperties>
</file>