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473B4" w14:textId="77777777" w:rsidR="00914CEB" w:rsidRPr="00D83CBC" w:rsidRDefault="00914CEB" w:rsidP="00D83CBC">
      <w:pPr>
        <w:shd w:val="clear" w:color="auto" w:fill="FFFFFF"/>
        <w:spacing w:line="276" w:lineRule="auto"/>
        <w:jc w:val="center"/>
        <w:rPr>
          <w:rFonts w:ascii="Book Antiqua" w:eastAsia="Book Antiqua" w:hAnsi="Book Antiqua" w:cs="Book Antiqua"/>
          <w:b/>
          <w:color w:val="FF0000"/>
          <w:sz w:val="24"/>
          <w:szCs w:val="24"/>
        </w:rPr>
      </w:pPr>
    </w:p>
    <w:p w14:paraId="017797E9" w14:textId="77777777" w:rsidR="00914CEB" w:rsidRPr="00D83CBC" w:rsidRDefault="00914CEB" w:rsidP="00D83CBC">
      <w:pPr>
        <w:shd w:val="clear" w:color="auto" w:fill="FFFFFF"/>
        <w:spacing w:line="276" w:lineRule="auto"/>
        <w:jc w:val="center"/>
        <w:rPr>
          <w:rFonts w:ascii="Book Antiqua" w:eastAsia="Book Antiqua" w:hAnsi="Book Antiqua" w:cs="Book Antiqua"/>
          <w:b/>
          <w:color w:val="FF0000"/>
          <w:sz w:val="24"/>
          <w:szCs w:val="24"/>
        </w:rPr>
      </w:pPr>
    </w:p>
    <w:p w14:paraId="640B7F1D" w14:textId="77777777" w:rsidR="00914CEB" w:rsidRPr="00D83CBC" w:rsidRDefault="00914CEB" w:rsidP="00D83CBC">
      <w:pPr>
        <w:shd w:val="clear" w:color="auto" w:fill="FFFFFF"/>
        <w:spacing w:line="276" w:lineRule="auto"/>
        <w:jc w:val="center"/>
        <w:rPr>
          <w:rFonts w:ascii="Book Antiqua" w:eastAsia="Book Antiqua" w:hAnsi="Book Antiqua" w:cs="Book Antiqua"/>
          <w:b/>
          <w:color w:val="FF0000"/>
          <w:sz w:val="24"/>
          <w:szCs w:val="24"/>
        </w:rPr>
      </w:pPr>
    </w:p>
    <w:p w14:paraId="7883929E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color w:val="000000" w:themeColor="text1"/>
          <w:spacing w:val="2"/>
        </w:rPr>
      </w:pPr>
    </w:p>
    <w:p w14:paraId="3C6ECC88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b/>
          <w:bCs/>
          <w:spacing w:val="2"/>
        </w:rPr>
      </w:pPr>
    </w:p>
    <w:p w14:paraId="01A94019" w14:textId="1B094D9D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b/>
          <w:bCs/>
          <w:spacing w:val="2"/>
        </w:rPr>
      </w:pPr>
      <w:r w:rsidRPr="00D83CBC">
        <w:rPr>
          <w:rFonts w:ascii="Book Antiqua" w:hAnsi="Book Antiqua" w:cs="Arial"/>
          <w:b/>
          <w:bCs/>
          <w:spacing w:val="2"/>
        </w:rPr>
        <w:t>AO JUÍZO DA VARA DAS FAMÍLIAS, SUCESSÕES, ÓRFÃO E INTERDITOS DA COMERCA DE XXXX/UF</w:t>
      </w:r>
    </w:p>
    <w:p w14:paraId="6136C020" w14:textId="669F97A3" w:rsidR="004F286E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</w:p>
    <w:p w14:paraId="13893517" w14:textId="11C663EA" w:rsidR="00D83CBC" w:rsidRDefault="00D83CBC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</w:p>
    <w:p w14:paraId="02F3B019" w14:textId="77777777" w:rsidR="00D83CBC" w:rsidRPr="00D83CBC" w:rsidRDefault="00D83CBC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</w:p>
    <w:p w14:paraId="0C7564A5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</w:p>
    <w:p w14:paraId="53EE62B2" w14:textId="2452D9AC" w:rsidR="004F286E" w:rsidRPr="00D83CBC" w:rsidRDefault="004F286E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  <w:r w:rsidRPr="004F286E">
        <w:rPr>
          <w:rFonts w:ascii="Book Antiqua" w:eastAsia="Times New Roman" w:hAnsi="Book Antiqua" w:cs="Times New Roman"/>
          <w:b/>
          <w:bCs/>
          <w:spacing w:val="2"/>
        </w:rPr>
        <w:t>FULANO</w:t>
      </w:r>
      <w:r w:rsidRPr="004F286E">
        <w:rPr>
          <w:rFonts w:ascii="Book Antiqua" w:eastAsia="Times New Roman" w:hAnsi="Book Antiqua" w:cs="Times New Roman"/>
          <w:spacing w:val="2"/>
        </w:rPr>
        <w:t xml:space="preserve">, [nacionalidade], [estado civil], [profissão], portador d0 CIRG n.º </w:t>
      </w:r>
      <w:proofErr w:type="spellStart"/>
      <w:r w:rsidRPr="004F286E">
        <w:rPr>
          <w:rFonts w:ascii="Book Antiqua" w:eastAsia="Times New Roman" w:hAnsi="Book Antiqua" w:cs="Times New Roman"/>
          <w:spacing w:val="2"/>
        </w:rPr>
        <w:t>xxxxxxxxxx</w:t>
      </w:r>
      <w:proofErr w:type="spellEnd"/>
      <w:r w:rsidRPr="004F286E">
        <w:rPr>
          <w:rFonts w:ascii="Book Antiqua" w:eastAsia="Times New Roman" w:hAnsi="Book Antiqua" w:cs="Times New Roman"/>
          <w:spacing w:val="2"/>
        </w:rPr>
        <w:t xml:space="preserve"> SESP/__, inscrito no CPF/MF sob n.º </w:t>
      </w:r>
      <w:proofErr w:type="spellStart"/>
      <w:r w:rsidRPr="004F286E">
        <w:rPr>
          <w:rFonts w:ascii="Book Antiqua" w:eastAsia="Times New Roman" w:hAnsi="Book Antiqua" w:cs="Times New Roman"/>
          <w:spacing w:val="2"/>
        </w:rPr>
        <w:t>xxxxxxxxxxxxx</w:t>
      </w:r>
      <w:proofErr w:type="spellEnd"/>
      <w:r w:rsidRPr="004F286E">
        <w:rPr>
          <w:rFonts w:ascii="Book Antiqua" w:eastAsia="Times New Roman" w:hAnsi="Book Antiqua" w:cs="Times New Roman"/>
          <w:spacing w:val="2"/>
        </w:rPr>
        <w:t>, e </w:t>
      </w:r>
      <w:r w:rsidRPr="004F286E">
        <w:rPr>
          <w:rFonts w:ascii="Book Antiqua" w:eastAsia="Times New Roman" w:hAnsi="Book Antiqua" w:cs="Times New Roman"/>
          <w:b/>
          <w:bCs/>
          <w:spacing w:val="2"/>
        </w:rPr>
        <w:t xml:space="preserve">CICLANA </w:t>
      </w:r>
      <w:r w:rsidRPr="004F286E">
        <w:rPr>
          <w:rFonts w:ascii="Book Antiqua" w:eastAsia="Times New Roman" w:hAnsi="Book Antiqua" w:cs="Times New Roman"/>
          <w:spacing w:val="2"/>
        </w:rPr>
        <w:t xml:space="preserve">, [nacionalidade], [estado civil], [profissão], portadora d0 CIRG n.º </w:t>
      </w:r>
      <w:proofErr w:type="spellStart"/>
      <w:r w:rsidRPr="004F286E">
        <w:rPr>
          <w:rFonts w:ascii="Book Antiqua" w:eastAsia="Times New Roman" w:hAnsi="Book Antiqua" w:cs="Times New Roman"/>
          <w:spacing w:val="2"/>
        </w:rPr>
        <w:t>xxxxxxxxxx</w:t>
      </w:r>
      <w:proofErr w:type="spellEnd"/>
      <w:r w:rsidRPr="004F286E">
        <w:rPr>
          <w:rFonts w:ascii="Book Antiqua" w:eastAsia="Times New Roman" w:hAnsi="Book Antiqua" w:cs="Times New Roman"/>
          <w:spacing w:val="2"/>
        </w:rPr>
        <w:t xml:space="preserve"> SESP/__, inscrita no CPF/MF sob n.º </w:t>
      </w:r>
      <w:proofErr w:type="spellStart"/>
      <w:r w:rsidRPr="004F286E">
        <w:rPr>
          <w:rFonts w:ascii="Book Antiqua" w:eastAsia="Times New Roman" w:hAnsi="Book Antiqua" w:cs="Times New Roman"/>
          <w:spacing w:val="2"/>
        </w:rPr>
        <w:t>xxxxxxxxxxxxx</w:t>
      </w:r>
      <w:proofErr w:type="spellEnd"/>
      <w:r w:rsidRPr="004F286E">
        <w:rPr>
          <w:rFonts w:ascii="Book Antiqua" w:eastAsia="Times New Roman" w:hAnsi="Book Antiqua" w:cs="Times New Roman"/>
          <w:spacing w:val="2"/>
        </w:rPr>
        <w:t xml:space="preserve">, ambos residentes e domiciliados na [endereço completo], </w:t>
      </w:r>
      <w:r w:rsidRPr="00D83CBC">
        <w:rPr>
          <w:rFonts w:ascii="Book Antiqua" w:eastAsia="Times New Roman" w:hAnsi="Book Antiqua" w:cs="Times New Roman"/>
          <w:spacing w:val="2"/>
        </w:rPr>
        <w:t xml:space="preserve">vem </w:t>
      </w:r>
      <w:r w:rsidRPr="004F286E">
        <w:rPr>
          <w:rFonts w:ascii="Book Antiqua" w:eastAsia="Times New Roman" w:hAnsi="Book Antiqua" w:cs="Times New Roman"/>
          <w:spacing w:val="2"/>
        </w:rPr>
        <w:t>por intermédio de seus</w:t>
      </w:r>
      <w:r w:rsidRPr="00D83CBC">
        <w:rPr>
          <w:rFonts w:ascii="Book Antiqua" w:eastAsia="Times New Roman" w:hAnsi="Book Antiqua" w:cs="Times New Roman"/>
          <w:spacing w:val="2"/>
        </w:rPr>
        <w:t xml:space="preserve"> advogados</w:t>
      </w:r>
      <w:r w:rsidRPr="004F286E">
        <w:rPr>
          <w:rFonts w:ascii="Book Antiqua" w:eastAsia="Times New Roman" w:hAnsi="Book Antiqua" w:cs="Times New Roman"/>
          <w:spacing w:val="2"/>
        </w:rPr>
        <w:t>, conforme instrumento particular de procuração anexo, com escritório profissional situado na [endereço profissional], onde por esta recebe notificações e intimações,</w:t>
      </w:r>
      <w:r w:rsidRPr="00D83CBC">
        <w:rPr>
          <w:rFonts w:ascii="Book Antiqua" w:eastAsia="Times New Roman" w:hAnsi="Book Antiqua" w:cs="Times New Roman"/>
          <w:spacing w:val="2"/>
        </w:rPr>
        <w:t xml:space="preserve"> PROPOR A AÇÃO DE: </w:t>
      </w:r>
    </w:p>
    <w:p w14:paraId="1975581B" w14:textId="45C1B543" w:rsidR="004F286E" w:rsidRPr="00D83CBC" w:rsidRDefault="004F286E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453C8078" w14:textId="39FF5F9D" w:rsidR="004F286E" w:rsidRPr="00D83CBC" w:rsidRDefault="004F286E" w:rsidP="00D83CBC">
      <w:pPr>
        <w:pStyle w:val="NormalWeb"/>
        <w:shd w:val="clear" w:color="auto" w:fill="FF0000"/>
        <w:spacing w:before="0" w:after="0" w:line="276" w:lineRule="auto"/>
        <w:jc w:val="both"/>
        <w:rPr>
          <w:rFonts w:ascii="Book Antiqua" w:hAnsi="Book Antiqua" w:cs="Arial"/>
          <w:b/>
          <w:bCs/>
          <w:color w:val="FFD966" w:themeColor="accent4" w:themeTint="99"/>
          <w:spacing w:val="2"/>
        </w:rPr>
      </w:pPr>
      <w:r w:rsidRPr="00D83CBC">
        <w:rPr>
          <w:rFonts w:ascii="Book Antiqua" w:eastAsia="Times New Roman" w:hAnsi="Book Antiqua"/>
          <w:b/>
          <w:bCs/>
          <w:color w:val="FFD966" w:themeColor="accent4" w:themeTint="99"/>
          <w:spacing w:val="2"/>
        </w:rPr>
        <w:t xml:space="preserve">OBS: </w:t>
      </w:r>
      <w:hyperlink r:id="rId8" w:tgtFrame="_blank" w:history="1">
        <w:r w:rsidRPr="00D83CBC">
          <w:rPr>
            <w:rStyle w:val="Hyperlink"/>
            <w:rFonts w:ascii="Book Antiqua" w:hAnsi="Book Antiqua" w:cs="Arial"/>
            <w:b/>
            <w:bCs/>
            <w:color w:val="FFD966" w:themeColor="accent4" w:themeTint="99"/>
            <w:spacing w:val="2"/>
            <w:u w:val="none"/>
          </w:rPr>
          <w:t>O </w:t>
        </w:r>
      </w:hyperlink>
      <w:hyperlink r:id="rId9" w:tgtFrame="_blank" w:history="1">
        <w:r w:rsidRPr="00D83CBC">
          <w:rPr>
            <w:rStyle w:val="Hyperlink"/>
            <w:rFonts w:ascii="Book Antiqua" w:hAnsi="Book Antiqua" w:cs="Arial"/>
            <w:b/>
            <w:bCs/>
            <w:color w:val="FFD966" w:themeColor="accent4" w:themeTint="99"/>
            <w:spacing w:val="2"/>
            <w:u w:val="none"/>
          </w:rPr>
          <w:t>nome do (a) requerente</w:t>
        </w:r>
      </w:hyperlink>
      <w:hyperlink r:id="rId10" w:tgtFrame="_blank" w:history="1">
        <w:r w:rsidRPr="00D83CBC">
          <w:rPr>
            <w:rStyle w:val="Hyperlink"/>
            <w:rFonts w:ascii="Book Antiqua" w:hAnsi="Book Antiqua" w:cs="Arial"/>
            <w:b/>
            <w:bCs/>
            <w:color w:val="FFD966" w:themeColor="accent4" w:themeTint="99"/>
            <w:spacing w:val="2"/>
            <w:u w:val="none"/>
          </w:rPr>
          <w:t> é { indicar o parentesco com o falecido (a) – filho (a), esposa (o) } do (a) senhor (a) </w:t>
        </w:r>
      </w:hyperlink>
      <w:hyperlink r:id="rId11" w:tgtFrame="_blank" w:history="1">
        <w:r w:rsidRPr="00D83CBC">
          <w:rPr>
            <w:rStyle w:val="Hyperlink"/>
            <w:rFonts w:ascii="Book Antiqua" w:hAnsi="Book Antiqua" w:cs="Arial"/>
            <w:b/>
            <w:bCs/>
            <w:color w:val="FFD966" w:themeColor="accent4" w:themeTint="99"/>
            <w:spacing w:val="2"/>
            <w:u w:val="none"/>
          </w:rPr>
          <w:t>NOME DO FALECIDO (A)</w:t>
        </w:r>
      </w:hyperlink>
      <w:hyperlink r:id="rId12" w:tgtFrame="_blank" w:history="1">
        <w:r w:rsidRPr="00D83CBC">
          <w:rPr>
            <w:rStyle w:val="Hyperlink"/>
            <w:rFonts w:ascii="Book Antiqua" w:hAnsi="Book Antiqua" w:cs="Arial"/>
            <w:b/>
            <w:bCs/>
            <w:color w:val="FFD966" w:themeColor="accent4" w:themeTint="99"/>
            <w:spacing w:val="2"/>
            <w:u w:val="none"/>
          </w:rPr>
          <w:t>, falecida viúva nesta cidade no dia/mês/ ano, conforme faz prova a cópia anexa da certidão de óbito.</w:t>
        </w:r>
      </w:hyperlink>
    </w:p>
    <w:p w14:paraId="3353A0AF" w14:textId="3D1964CB" w:rsidR="004F286E" w:rsidRPr="00D83CBC" w:rsidRDefault="004F286E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671FF3EE" w14:textId="4FDDD6FD" w:rsidR="004F286E" w:rsidRPr="00D83CBC" w:rsidRDefault="004F286E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0C8D8679" w14:textId="77777777" w:rsidR="004F286E" w:rsidRPr="004F286E" w:rsidRDefault="004F286E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7B4D30D6" w14:textId="05D380E3" w:rsidR="004F286E" w:rsidRPr="00D83CBC" w:rsidRDefault="004F286E" w:rsidP="00D83CBC">
      <w:pPr>
        <w:shd w:val="clear" w:color="auto" w:fill="FFFFFF"/>
        <w:spacing w:line="276" w:lineRule="auto"/>
        <w:jc w:val="center"/>
        <w:rPr>
          <w:rFonts w:ascii="Book Antiqua" w:eastAsia="Times New Roman" w:hAnsi="Book Antiqua" w:cs="Times New Roman"/>
          <w:b/>
          <w:bCs/>
          <w:spacing w:val="2"/>
        </w:rPr>
      </w:pPr>
      <w:r w:rsidRPr="004F286E">
        <w:rPr>
          <w:rFonts w:ascii="Book Antiqua" w:eastAsia="Times New Roman" w:hAnsi="Book Antiqua" w:cs="Times New Roman"/>
          <w:b/>
          <w:bCs/>
          <w:spacing w:val="2"/>
        </w:rPr>
        <w:t>ALVARÁ JUDICIAL</w:t>
      </w:r>
    </w:p>
    <w:p w14:paraId="1E044189" w14:textId="77777777" w:rsidR="004F286E" w:rsidRPr="004F286E" w:rsidRDefault="004F286E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5B576A57" w14:textId="007A2174" w:rsidR="004F286E" w:rsidRPr="00D83CBC" w:rsidRDefault="004F286E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  <w:r w:rsidRPr="004F286E">
        <w:rPr>
          <w:rFonts w:ascii="Book Antiqua" w:eastAsia="Times New Roman" w:hAnsi="Book Antiqua" w:cs="Times New Roman"/>
          <w:spacing w:val="2"/>
        </w:rPr>
        <w:t>com fundamento nos artigos 719 a 725 do Código de Processo Civil, pelas razões de fato e de direito a seguir expostas.</w:t>
      </w:r>
    </w:p>
    <w:p w14:paraId="686207AD" w14:textId="77777777" w:rsidR="004F286E" w:rsidRPr="004F286E" w:rsidRDefault="004F286E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43977B53" w14:textId="12EFD2C7" w:rsidR="004F286E" w:rsidRPr="00D83CBC" w:rsidRDefault="004F286E" w:rsidP="00D83CBC">
      <w:pPr>
        <w:pStyle w:val="PargrafodaLista"/>
        <w:numPr>
          <w:ilvl w:val="0"/>
          <w:numId w:val="3"/>
        </w:numPr>
        <w:shd w:val="clear" w:color="auto" w:fill="FFFFFF"/>
        <w:spacing w:line="276" w:lineRule="auto"/>
        <w:rPr>
          <w:rFonts w:ascii="Book Antiqua" w:eastAsia="Times New Roman" w:hAnsi="Book Antiqua" w:cs="Times New Roman"/>
          <w:b/>
          <w:bCs/>
          <w:spacing w:val="2"/>
        </w:rPr>
      </w:pPr>
      <w:r w:rsidRPr="00D83CBC">
        <w:rPr>
          <w:rFonts w:ascii="Book Antiqua" w:eastAsia="Times New Roman" w:hAnsi="Book Antiqua" w:cs="Times New Roman"/>
          <w:b/>
          <w:bCs/>
          <w:spacing w:val="2"/>
        </w:rPr>
        <w:t>DA GRATUIDADE DA JUSTIÇA:</w:t>
      </w:r>
    </w:p>
    <w:p w14:paraId="484D785B" w14:textId="77777777" w:rsidR="004F286E" w:rsidRPr="00D83CBC" w:rsidRDefault="004F286E" w:rsidP="00D83CBC">
      <w:pPr>
        <w:pStyle w:val="PargrafodaLista"/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6FB70556" w14:textId="73D907C7" w:rsidR="004F286E" w:rsidRPr="00D83CBC" w:rsidRDefault="004F286E" w:rsidP="00D83CBC">
      <w:pPr>
        <w:spacing w:line="276" w:lineRule="auto"/>
        <w:ind w:firstLine="709"/>
        <w:rPr>
          <w:rFonts w:ascii="Book Antiqua" w:hAnsi="Book Antiqua"/>
        </w:rPr>
      </w:pPr>
      <w:r w:rsidRPr="00D83CBC">
        <w:rPr>
          <w:rFonts w:ascii="Book Antiqua" w:hAnsi="Book Antiqua"/>
        </w:rPr>
        <w:t xml:space="preserve">Preliminarmente, requer a parte que lhe sejam concedido o benefício da justiça gratuita, em razão do fato de não possuir recursos suficientes para custear o processo, sem que comprometam o sustento próprio e de sua família, visto que não possui condições de arcar com as custas </w:t>
      </w:r>
      <w:r w:rsidRPr="00D83CBC">
        <w:rPr>
          <w:rFonts w:ascii="Book Antiqua" w:hAnsi="Book Antiqua"/>
        </w:rPr>
        <w:t>judiciais</w:t>
      </w:r>
      <w:r w:rsidRPr="00D83CBC">
        <w:rPr>
          <w:rFonts w:ascii="Book Antiqua" w:hAnsi="Book Antiqua"/>
        </w:rPr>
        <w:t>, sem que isso lhe prejudique a sua subsistência mínima.</w:t>
      </w:r>
    </w:p>
    <w:p w14:paraId="5B54AF0C" w14:textId="77777777" w:rsidR="004F286E" w:rsidRPr="00D83CBC" w:rsidRDefault="004F286E" w:rsidP="00D83CBC">
      <w:pPr>
        <w:spacing w:line="276" w:lineRule="auto"/>
        <w:ind w:firstLine="709"/>
        <w:rPr>
          <w:rFonts w:ascii="Book Antiqua" w:hAnsi="Book Antiqua"/>
        </w:rPr>
      </w:pPr>
    </w:p>
    <w:p w14:paraId="5ACC5479" w14:textId="77777777" w:rsidR="004F286E" w:rsidRPr="00D83CBC" w:rsidRDefault="004F286E" w:rsidP="00D83CBC">
      <w:pPr>
        <w:spacing w:line="276" w:lineRule="auto"/>
        <w:ind w:firstLine="709"/>
        <w:rPr>
          <w:rFonts w:ascii="Book Antiqua" w:hAnsi="Book Antiqua"/>
        </w:rPr>
      </w:pPr>
      <w:r w:rsidRPr="00D83CBC">
        <w:rPr>
          <w:rFonts w:ascii="Book Antiqua" w:hAnsi="Book Antiqua"/>
        </w:rPr>
        <w:t>De efeito, o pedido ora posto encontra respaldo nas cláusulas pétreas esculpidas nos incisos XXXIV e LXXIV, ambos do Artigo 5º da Carta Magna e no Artigo 98 do Código de Processo Civil, que garantem o acesso gratuito ao Poder Judiciário, que dispõe:</w:t>
      </w:r>
    </w:p>
    <w:p w14:paraId="6BD17C1F" w14:textId="77777777" w:rsidR="004F286E" w:rsidRPr="00D83CBC" w:rsidRDefault="004F286E" w:rsidP="00D83CBC">
      <w:pPr>
        <w:spacing w:line="276" w:lineRule="auto"/>
        <w:ind w:firstLine="1701"/>
        <w:rPr>
          <w:rFonts w:ascii="Book Antiqua" w:hAnsi="Book Antiqua"/>
          <w:sz w:val="26"/>
          <w:szCs w:val="26"/>
        </w:rPr>
      </w:pPr>
    </w:p>
    <w:p w14:paraId="5E93AD1E" w14:textId="77777777" w:rsidR="004F286E" w:rsidRPr="00D83CBC" w:rsidRDefault="004F286E" w:rsidP="00D83CBC">
      <w:pPr>
        <w:spacing w:line="276" w:lineRule="auto"/>
        <w:ind w:left="2835"/>
        <w:rPr>
          <w:rFonts w:ascii="Book Antiqua" w:hAnsi="Book Antiqua"/>
          <w:b/>
          <w:sz w:val="20"/>
          <w:szCs w:val="20"/>
        </w:rPr>
      </w:pPr>
      <w:r w:rsidRPr="00D83CBC">
        <w:rPr>
          <w:rFonts w:ascii="Book Antiqua" w:hAnsi="Book Antiqua"/>
          <w:b/>
          <w:sz w:val="20"/>
          <w:szCs w:val="20"/>
        </w:rPr>
        <w:lastRenderedPageBreak/>
        <w:t xml:space="preserve">“a parte gozará dos benefícios da assistência judiciária, mediante simples afirmação, na própria petição inicial, de que não está em condições de pagar </w:t>
      </w:r>
      <w:proofErr w:type="gramStart"/>
      <w:r w:rsidRPr="00D83CBC">
        <w:rPr>
          <w:rFonts w:ascii="Book Antiqua" w:hAnsi="Book Antiqua"/>
          <w:b/>
          <w:sz w:val="20"/>
          <w:szCs w:val="20"/>
        </w:rPr>
        <w:t>as</w:t>
      </w:r>
      <w:proofErr w:type="gramEnd"/>
      <w:r w:rsidRPr="00D83CBC">
        <w:rPr>
          <w:rFonts w:ascii="Book Antiqua" w:hAnsi="Book Antiqua"/>
          <w:b/>
          <w:sz w:val="20"/>
          <w:szCs w:val="20"/>
        </w:rPr>
        <w:t xml:space="preserve"> custas do processo e os honorários de advogado, sem prejuízo próprio ou de sua família”. </w:t>
      </w:r>
    </w:p>
    <w:p w14:paraId="62653B7A" w14:textId="77777777" w:rsidR="004F286E" w:rsidRPr="00D83CBC" w:rsidRDefault="004F286E" w:rsidP="00D83CBC">
      <w:pPr>
        <w:spacing w:line="276" w:lineRule="auto"/>
        <w:ind w:left="2835"/>
        <w:rPr>
          <w:rFonts w:ascii="Book Antiqua" w:hAnsi="Book Antiqua"/>
          <w:b/>
          <w:sz w:val="20"/>
          <w:szCs w:val="20"/>
        </w:rPr>
      </w:pPr>
    </w:p>
    <w:p w14:paraId="60A7A085" w14:textId="59B76960" w:rsidR="004F286E" w:rsidRDefault="004F286E" w:rsidP="00D83CBC">
      <w:pPr>
        <w:spacing w:line="276" w:lineRule="auto"/>
        <w:ind w:left="2835"/>
        <w:rPr>
          <w:rFonts w:ascii="Book Antiqua" w:hAnsi="Book Antiqua" w:cs="Arial"/>
          <w:b/>
          <w:sz w:val="20"/>
          <w:szCs w:val="20"/>
        </w:rPr>
      </w:pPr>
      <w:r w:rsidRPr="00D83CBC">
        <w:rPr>
          <w:rFonts w:ascii="Book Antiqua" w:hAnsi="Book Antiqua" w:cs="Arial"/>
          <w:b/>
          <w:sz w:val="20"/>
          <w:szCs w:val="20"/>
        </w:rPr>
        <w:t>Artigo. 98.  A pessoa natural ou jurídica, brasileira ou estrangeira, com insuficiência de recursos para pagar as custas, as despesas processuais e os honorários advocatícios têm direito à gratuidade da justiça, na forma da lei.</w:t>
      </w:r>
    </w:p>
    <w:p w14:paraId="6C526DDA" w14:textId="314D3D35" w:rsidR="00D83CBC" w:rsidRDefault="00D83CBC" w:rsidP="00D83CBC">
      <w:pPr>
        <w:spacing w:line="276" w:lineRule="auto"/>
        <w:ind w:left="2835"/>
        <w:rPr>
          <w:rFonts w:ascii="Book Antiqua" w:hAnsi="Book Antiqua" w:cs="Arial"/>
          <w:b/>
          <w:sz w:val="20"/>
          <w:szCs w:val="20"/>
        </w:rPr>
      </w:pPr>
    </w:p>
    <w:p w14:paraId="7B31DB37" w14:textId="77777777" w:rsidR="00D83CBC" w:rsidRPr="00D83CBC" w:rsidRDefault="00D83CBC" w:rsidP="00D83CBC">
      <w:pPr>
        <w:spacing w:line="276" w:lineRule="auto"/>
        <w:ind w:left="2835"/>
        <w:rPr>
          <w:rFonts w:ascii="Book Antiqua" w:hAnsi="Book Antiqua"/>
          <w:b/>
          <w:sz w:val="20"/>
          <w:szCs w:val="20"/>
        </w:rPr>
      </w:pPr>
    </w:p>
    <w:p w14:paraId="19C84ADD" w14:textId="7BD4DEB7" w:rsidR="004F286E" w:rsidRPr="00D83CBC" w:rsidRDefault="004F286E" w:rsidP="00D83CBC">
      <w:pPr>
        <w:pStyle w:val="PargrafodaLista"/>
        <w:numPr>
          <w:ilvl w:val="0"/>
          <w:numId w:val="3"/>
        </w:numPr>
        <w:shd w:val="clear" w:color="auto" w:fill="FFFFFF"/>
        <w:spacing w:line="276" w:lineRule="auto"/>
        <w:rPr>
          <w:rFonts w:ascii="Book Antiqua" w:eastAsia="Times New Roman" w:hAnsi="Book Antiqua" w:cs="Times New Roman"/>
          <w:b/>
          <w:bCs/>
          <w:spacing w:val="2"/>
          <w:sz w:val="24"/>
          <w:szCs w:val="24"/>
        </w:rPr>
      </w:pPr>
      <w:r w:rsidRPr="00D83CBC">
        <w:rPr>
          <w:rFonts w:ascii="Book Antiqua" w:eastAsia="Times New Roman" w:hAnsi="Book Antiqua" w:cs="Times New Roman"/>
          <w:b/>
          <w:bCs/>
          <w:spacing w:val="2"/>
          <w:sz w:val="24"/>
          <w:szCs w:val="24"/>
        </w:rPr>
        <w:t>DOS FATOS:</w:t>
      </w:r>
    </w:p>
    <w:p w14:paraId="307102F3" w14:textId="77777777" w:rsidR="00D83CBC" w:rsidRPr="00D83CBC" w:rsidRDefault="00D83CBC" w:rsidP="00D83CBC">
      <w:pPr>
        <w:pStyle w:val="PargrafodaLista"/>
        <w:shd w:val="clear" w:color="auto" w:fill="FFFFFF"/>
        <w:spacing w:line="276" w:lineRule="auto"/>
        <w:ind w:left="1080"/>
        <w:rPr>
          <w:rFonts w:ascii="Book Antiqua" w:eastAsia="Times New Roman" w:hAnsi="Book Antiqua" w:cs="Times New Roman"/>
          <w:spacing w:val="2"/>
        </w:rPr>
      </w:pPr>
    </w:p>
    <w:p w14:paraId="17759587" w14:textId="24D1D006" w:rsidR="00D83CBC" w:rsidRPr="00D83CBC" w:rsidRDefault="004F286E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Fonts w:ascii="Book Antiqua" w:hAnsi="Book Antiqua" w:cs="Arial"/>
          <w:spacing w:val="2"/>
        </w:rPr>
      </w:pPr>
      <w:r w:rsidRPr="00D83CBC">
        <w:rPr>
          <w:rFonts w:ascii="Book Antiqua" w:hAnsi="Book Antiqua" w:cs="Arial"/>
          <w:spacing w:val="2"/>
        </w:rPr>
        <w:t>Os requerentes são filhos do falecido</w:t>
      </w:r>
      <w:r w:rsidR="00D83CBC" w:rsidRPr="00D83CBC">
        <w:rPr>
          <w:rFonts w:ascii="Book Antiqua" w:hAnsi="Book Antiqua" w:cs="Arial"/>
          <w:spacing w:val="2"/>
        </w:rPr>
        <w:t>, conforme se demonstra através da certidão de nascimento em anexo.</w:t>
      </w:r>
    </w:p>
    <w:p w14:paraId="202643F5" w14:textId="7709D64F" w:rsidR="00D83CBC" w:rsidRPr="00D83CBC" w:rsidRDefault="00D83CBC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Fonts w:ascii="Book Antiqua" w:hAnsi="Book Antiqua" w:cs="Arial"/>
          <w:spacing w:val="2"/>
        </w:rPr>
      </w:pPr>
    </w:p>
    <w:p w14:paraId="4F6F7967" w14:textId="09290DAD" w:rsidR="00D83CBC" w:rsidRPr="00D83CBC" w:rsidRDefault="00D83CBC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Fonts w:ascii="Book Antiqua" w:hAnsi="Book Antiqua" w:cs="Arial"/>
          <w:spacing w:val="2"/>
        </w:rPr>
      </w:pPr>
      <w:r w:rsidRPr="00D83CBC">
        <w:rPr>
          <w:rFonts w:ascii="Book Antiqua" w:hAnsi="Book Antiqua" w:cs="Arial"/>
          <w:spacing w:val="2"/>
        </w:rPr>
        <w:t xml:space="preserve">O de-cujus não era divorciado e não estava convivendo em união estável, vide a prova em anexo da Certidão de Inexistência de herdeiros habilitados perante </w:t>
      </w:r>
      <w:proofErr w:type="gramStart"/>
      <w:r w:rsidRPr="00D83CBC">
        <w:rPr>
          <w:rFonts w:ascii="Book Antiqua" w:hAnsi="Book Antiqua" w:cs="Arial"/>
          <w:spacing w:val="2"/>
        </w:rPr>
        <w:t>ao</w:t>
      </w:r>
      <w:proofErr w:type="gramEnd"/>
      <w:r w:rsidRPr="00D83CBC">
        <w:rPr>
          <w:rFonts w:ascii="Book Antiqua" w:hAnsi="Book Antiqua" w:cs="Arial"/>
          <w:spacing w:val="2"/>
        </w:rPr>
        <w:t xml:space="preserve"> INSS.</w:t>
      </w:r>
    </w:p>
    <w:p w14:paraId="06FE676A" w14:textId="68D1FE82" w:rsidR="00D83CBC" w:rsidRPr="00D83CBC" w:rsidRDefault="00D83CBC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Fonts w:ascii="Book Antiqua" w:hAnsi="Book Antiqua" w:cs="Arial"/>
          <w:spacing w:val="2"/>
        </w:rPr>
      </w:pPr>
    </w:p>
    <w:p w14:paraId="4404E4E2" w14:textId="66143940" w:rsidR="00D83CBC" w:rsidRPr="00D83CBC" w:rsidRDefault="00D83CBC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Style w:val="Hyperlink"/>
          <w:rFonts w:ascii="Book Antiqua" w:hAnsi="Book Antiqua" w:cs="Arial"/>
          <w:color w:val="auto"/>
          <w:spacing w:val="2"/>
          <w:u w:val="none"/>
        </w:rPr>
      </w:pPr>
      <w:r w:rsidRPr="00D83CBC">
        <w:rPr>
          <w:rFonts w:ascii="Book Antiqua" w:hAnsi="Book Antiqua" w:cs="Arial"/>
          <w:spacing w:val="2"/>
        </w:rPr>
        <w:t>Portanto, sendo os Requerentes os únicos herdeiros necessários e legítimos do falecido. Afinal, seguindo a cadeia sucessória, eles são os descendentes.</w:t>
      </w:r>
    </w:p>
    <w:p w14:paraId="7C5EB13B" w14:textId="77777777" w:rsidR="00D83CBC" w:rsidRPr="00D83CBC" w:rsidRDefault="00D83CBC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</w:p>
    <w:p w14:paraId="2BAC7FBD" w14:textId="6534AC85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Style w:val="Hyperlink"/>
          <w:rFonts w:ascii="Book Antiqua" w:hAnsi="Book Antiqua" w:cs="Arial"/>
          <w:color w:val="auto"/>
          <w:spacing w:val="2"/>
          <w:u w:val="none"/>
        </w:rPr>
      </w:pPr>
      <w:hyperlink r:id="rId13" w:tgtFrame="_blank" w:history="1">
        <w:r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 xml:space="preserve">Ocorre que o (a) falecido (a) deixou um saldo </w:t>
        </w:r>
        <w:r w:rsidR="00D83CBC"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bancário,</w:t>
        </w:r>
      </w:hyperlink>
      <w:r w:rsidR="00D83CBC" w:rsidRPr="00D83CBC">
        <w:rPr>
          <w:rStyle w:val="Hyperlink"/>
          <w:rFonts w:ascii="Book Antiqua" w:hAnsi="Book Antiqua" w:cs="Arial"/>
          <w:color w:val="auto"/>
          <w:spacing w:val="2"/>
          <w:u w:val="none"/>
        </w:rPr>
        <w:t xml:space="preserve"> no valor de R$ 9.000,00 a título de sua rescisão do contrato de trabalho, em razão do seu falecimento,</w:t>
      </w:r>
    </w:p>
    <w:p w14:paraId="76088D64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</w:p>
    <w:p w14:paraId="41252BF1" w14:textId="2C9B1D49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Style w:val="Hyperlink"/>
          <w:rFonts w:ascii="Book Antiqua" w:hAnsi="Book Antiqua" w:cs="Arial"/>
          <w:color w:val="auto"/>
          <w:spacing w:val="2"/>
          <w:u w:val="none"/>
        </w:rPr>
      </w:pPr>
      <w:hyperlink r:id="rId14" w:tgtFrame="_blank" w:history="1">
        <w:r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 xml:space="preserve">É cediço que o (a) senhor (a) NOME DO FALECIDO não deixou bens imóveis a serem inventariados, portanto, não haverá necessidade de efetuar abertura de inventário. </w:t>
        </w:r>
      </w:hyperlink>
    </w:p>
    <w:p w14:paraId="55BF49FE" w14:textId="26867243" w:rsidR="00D83CBC" w:rsidRPr="00D83CBC" w:rsidRDefault="00D83CBC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Style w:val="Hyperlink"/>
          <w:rFonts w:ascii="Book Antiqua" w:hAnsi="Book Antiqua" w:cs="Arial"/>
          <w:color w:val="auto"/>
          <w:spacing w:val="2"/>
          <w:u w:val="none"/>
        </w:rPr>
      </w:pPr>
    </w:p>
    <w:p w14:paraId="0884A9D8" w14:textId="77777777" w:rsidR="00D83CBC" w:rsidRPr="00D83CBC" w:rsidRDefault="00D83CBC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Style w:val="Hyperlink"/>
          <w:rFonts w:ascii="Book Antiqua" w:hAnsi="Book Antiqua" w:cs="Arial"/>
          <w:color w:val="auto"/>
          <w:spacing w:val="2"/>
          <w:u w:val="none"/>
        </w:rPr>
      </w:pPr>
    </w:p>
    <w:p w14:paraId="641AC70A" w14:textId="77777777" w:rsidR="00D83CBC" w:rsidRPr="00D83CBC" w:rsidRDefault="00D83CBC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Style w:val="Hyperlink"/>
          <w:rFonts w:ascii="Book Antiqua" w:hAnsi="Book Antiqua" w:cs="Arial"/>
          <w:color w:val="auto"/>
          <w:spacing w:val="2"/>
          <w:u w:val="none"/>
        </w:rPr>
      </w:pPr>
    </w:p>
    <w:p w14:paraId="4A1384B5" w14:textId="64747E36" w:rsidR="004F286E" w:rsidRPr="00D83CBC" w:rsidRDefault="00D83CBC" w:rsidP="00D83CBC">
      <w:pPr>
        <w:pStyle w:val="NormalWeb"/>
        <w:shd w:val="clear" w:color="auto" w:fill="FFFFFF"/>
        <w:spacing w:before="0" w:after="0" w:line="276" w:lineRule="auto"/>
        <w:ind w:firstLine="708"/>
        <w:jc w:val="both"/>
        <w:rPr>
          <w:rFonts w:ascii="Book Antiqua" w:hAnsi="Book Antiqua" w:cs="Arial"/>
          <w:spacing w:val="2"/>
        </w:rPr>
      </w:pPr>
      <w:r w:rsidRPr="00D83CBC">
        <w:rPr>
          <w:rStyle w:val="Hyperlink"/>
          <w:rFonts w:ascii="Book Antiqua" w:hAnsi="Book Antiqua" w:cs="Arial"/>
          <w:color w:val="auto"/>
          <w:spacing w:val="2"/>
          <w:u w:val="none"/>
        </w:rPr>
        <w:t>Dispõe a Lei</w:t>
      </w:r>
      <w:r w:rsidRPr="00D83CBC">
        <w:rPr>
          <w:rFonts w:ascii="Book Antiqua" w:hAnsi="Book Antiqua" w:cs="Arial"/>
          <w:spacing w:val="2"/>
        </w:rPr>
        <w:t xml:space="preserve"> </w:t>
      </w:r>
      <w:hyperlink r:id="rId15" w:tooltip="Lei no 6.858, de 24 de novembro de 1980." w:history="1">
        <w:r w:rsidR="004F286E"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6.858</w:t>
        </w:r>
      </w:hyperlink>
      <w:r w:rsidR="004F286E" w:rsidRPr="00D83CBC">
        <w:rPr>
          <w:rFonts w:ascii="Book Antiqua" w:hAnsi="Book Antiqua" w:cs="Arial"/>
          <w:spacing w:val="2"/>
        </w:rPr>
        <w:t>/80 sobre o pagamento, aos dependentes e sucessores, de valores não recebidos em vida pelos respectivos titulares, vejamos:</w:t>
      </w:r>
    </w:p>
    <w:p w14:paraId="69D6EA85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</w:p>
    <w:p w14:paraId="74EFD731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ind w:left="1701"/>
        <w:jc w:val="both"/>
        <w:rPr>
          <w:rFonts w:ascii="Book Antiqua" w:hAnsi="Book Antiqua" w:cs="Arial"/>
          <w:b/>
          <w:bCs/>
          <w:spacing w:val="2"/>
          <w:sz w:val="20"/>
        </w:rPr>
      </w:pPr>
      <w:hyperlink r:id="rId16" w:tgtFrame="_blank" w:history="1">
        <w:r w:rsidRPr="00D83CBC">
          <w:rPr>
            <w:rStyle w:val="Hyperlink"/>
            <w:rFonts w:ascii="Book Antiqua" w:hAnsi="Book Antiqua" w:cs="Arial"/>
            <w:b/>
            <w:bCs/>
            <w:i/>
            <w:iCs/>
            <w:color w:val="auto"/>
            <w:spacing w:val="2"/>
            <w:sz w:val="20"/>
            <w:u w:val="none"/>
          </w:rPr>
          <w:t>Art. 1º - Os valores devidos pelos empregadores aos empregados e os montantes das contas individuais do Fundo de Garantia do Tempo de Serviço e do Fundo de Participação </w:t>
        </w:r>
      </w:hyperlink>
      <w:hyperlink r:id="rId17" w:tooltip="Lei Complementar nº 7, de 7 de setembro de 1970" w:history="1">
        <w:r w:rsidRPr="00D83CBC">
          <w:rPr>
            <w:rStyle w:val="Hyperlink"/>
            <w:rFonts w:ascii="Book Antiqua" w:hAnsi="Book Antiqua" w:cs="Arial"/>
            <w:b/>
            <w:bCs/>
            <w:i/>
            <w:iCs/>
            <w:color w:val="auto"/>
            <w:spacing w:val="2"/>
            <w:sz w:val="20"/>
            <w:u w:val="none"/>
          </w:rPr>
          <w:t>PIS</w:t>
        </w:r>
      </w:hyperlink>
      <w:r w:rsidRPr="00D83CBC">
        <w:rPr>
          <w:rFonts w:ascii="Book Antiqua" w:hAnsi="Book Antiqua" w:cs="Arial"/>
          <w:b/>
          <w:bCs/>
          <w:i/>
          <w:iCs/>
          <w:spacing w:val="2"/>
          <w:sz w:val="20"/>
        </w:rPr>
        <w:t>-</w:t>
      </w:r>
      <w:hyperlink r:id="rId18" w:tooltip="Lei Complementar nº 8, de 3 de dezembro de 1970" w:history="1">
        <w:r w:rsidRPr="00D83CBC">
          <w:rPr>
            <w:rStyle w:val="Hyperlink"/>
            <w:rFonts w:ascii="Book Antiqua" w:hAnsi="Book Antiqua" w:cs="Arial"/>
            <w:b/>
            <w:bCs/>
            <w:i/>
            <w:iCs/>
            <w:color w:val="auto"/>
            <w:spacing w:val="2"/>
            <w:sz w:val="20"/>
            <w:u w:val="none"/>
          </w:rPr>
          <w:t>PASEP</w:t>
        </w:r>
      </w:hyperlink>
      <w:r w:rsidRPr="00D83CBC">
        <w:rPr>
          <w:rFonts w:ascii="Book Antiqua" w:hAnsi="Book Antiqua" w:cs="Arial"/>
          <w:b/>
          <w:bCs/>
          <w:i/>
          <w:iCs/>
          <w:spacing w:val="2"/>
          <w:sz w:val="20"/>
        </w:rPr>
        <w:t>, não recebidos em vida pelos respectivos titulares, serão pagos, em quotas iguais, aos dependentes habilitados perante a Previdência Social ou na forma da legislação específica dos servidores civis e militares, e, na sua falta, aos sucessores previstos na lei civil, indicados em alvará judicial, independentemente de inventário ou arrolamento.</w:t>
      </w:r>
    </w:p>
    <w:p w14:paraId="301F5BB4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ind w:left="1701"/>
        <w:jc w:val="both"/>
        <w:rPr>
          <w:rFonts w:ascii="Book Antiqua" w:hAnsi="Book Antiqua" w:cs="Arial"/>
          <w:b/>
          <w:bCs/>
          <w:i/>
          <w:iCs/>
          <w:spacing w:val="2"/>
          <w:sz w:val="20"/>
        </w:rPr>
      </w:pPr>
      <w:hyperlink r:id="rId19" w:tgtFrame="_blank" w:history="1">
        <w:r w:rsidRPr="00D83CBC">
          <w:rPr>
            <w:rStyle w:val="Hyperlink"/>
            <w:rFonts w:ascii="Book Antiqua" w:hAnsi="Book Antiqua" w:cs="Arial"/>
            <w:b/>
            <w:bCs/>
            <w:i/>
            <w:iCs/>
            <w:color w:val="auto"/>
            <w:spacing w:val="2"/>
            <w:sz w:val="20"/>
            <w:u w:val="none"/>
          </w:rPr>
          <w:t>Art. 2º - O disposto nesta Lei se aplica às restituições relativas ao Imposto de Renda e outros tributos, recolhidos por pessoa física, e, não existindo outros bens sujeitos a inventário, aos saldos bancários e de contas de cadernetas de poupança e fundos de investimento de valor até 500 (quinhentas) obrigações do tesouro nacional.</w:t>
        </w:r>
      </w:hyperlink>
    </w:p>
    <w:p w14:paraId="1B3D4B91" w14:textId="77777777" w:rsidR="004F286E" w:rsidRPr="00D83CBC" w:rsidRDefault="004F286E" w:rsidP="00D83CBC">
      <w:pPr>
        <w:shd w:val="clear" w:color="auto" w:fill="FFFFFF"/>
        <w:spacing w:after="480" w:line="276" w:lineRule="auto"/>
        <w:rPr>
          <w:rFonts w:ascii="Book Antiqua" w:eastAsia="Times New Roman" w:hAnsi="Book Antiqua" w:cs="Times New Roman"/>
          <w:spacing w:val="2"/>
        </w:rPr>
      </w:pPr>
    </w:p>
    <w:p w14:paraId="37EDBD7B" w14:textId="21513621" w:rsidR="004F286E" w:rsidRPr="00D83CBC" w:rsidRDefault="00D83CBC" w:rsidP="00D83CBC">
      <w:pPr>
        <w:pStyle w:val="PargrafodaLista"/>
        <w:numPr>
          <w:ilvl w:val="0"/>
          <w:numId w:val="3"/>
        </w:numPr>
        <w:shd w:val="clear" w:color="auto" w:fill="FFFFFF"/>
        <w:spacing w:line="276" w:lineRule="auto"/>
        <w:rPr>
          <w:rFonts w:ascii="Book Antiqua" w:eastAsia="Times New Roman" w:hAnsi="Book Antiqua" w:cs="Times New Roman"/>
          <w:b/>
          <w:bCs/>
          <w:spacing w:val="2"/>
          <w:sz w:val="24"/>
          <w:szCs w:val="24"/>
        </w:rPr>
      </w:pPr>
      <w:r w:rsidRPr="00D83CBC">
        <w:rPr>
          <w:rFonts w:ascii="Book Antiqua" w:eastAsia="Times New Roman" w:hAnsi="Book Antiqua" w:cs="Times New Roman"/>
          <w:b/>
          <w:bCs/>
          <w:spacing w:val="2"/>
          <w:sz w:val="24"/>
          <w:szCs w:val="24"/>
        </w:rPr>
        <w:t xml:space="preserve">DOS FUNDAMENTOS JURÍDICOS: </w:t>
      </w:r>
    </w:p>
    <w:p w14:paraId="376F7301" w14:textId="77777777" w:rsidR="00D83CBC" w:rsidRPr="004F286E" w:rsidRDefault="00D83CBC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368AEB4E" w14:textId="77777777" w:rsidR="004F286E" w:rsidRPr="004F286E" w:rsidRDefault="004F286E" w:rsidP="00D83CBC">
      <w:pPr>
        <w:shd w:val="clear" w:color="auto" w:fill="FFFFFF"/>
        <w:spacing w:after="480" w:line="276" w:lineRule="auto"/>
        <w:rPr>
          <w:rFonts w:ascii="Book Antiqua" w:eastAsia="Times New Roman" w:hAnsi="Book Antiqua" w:cs="Times New Roman"/>
          <w:spacing w:val="2"/>
        </w:rPr>
      </w:pPr>
      <w:r w:rsidRPr="004F286E">
        <w:rPr>
          <w:rFonts w:ascii="Book Antiqua" w:eastAsia="Times New Roman" w:hAnsi="Book Antiqua" w:cs="Times New Roman"/>
          <w:spacing w:val="2"/>
        </w:rPr>
        <w:t>É cediço em nosso ordenamento jurídico que a competência é da Justiça Estadual em conceder Alvará Judicial aos herdeiros, a fim de receberem valores ainda não resgatados pelos respectivos titulares, conforme aponta a Súmula 161 do Superior Tribunal de Justiça:</w:t>
      </w:r>
    </w:p>
    <w:p w14:paraId="0A71DE17" w14:textId="77777777" w:rsidR="004F286E" w:rsidRPr="004F286E" w:rsidRDefault="004F286E" w:rsidP="00D83CBC">
      <w:pPr>
        <w:shd w:val="clear" w:color="auto" w:fill="FFFFFF"/>
        <w:spacing w:after="480" w:line="276" w:lineRule="auto"/>
        <w:ind w:left="1701"/>
        <w:rPr>
          <w:rFonts w:ascii="Book Antiqua" w:eastAsia="Times New Roman" w:hAnsi="Book Antiqua" w:cs="Times New Roman"/>
          <w:b/>
          <w:bCs/>
          <w:spacing w:val="2"/>
          <w:sz w:val="20"/>
          <w:szCs w:val="20"/>
        </w:rPr>
      </w:pPr>
      <w:r w:rsidRPr="004F286E">
        <w:rPr>
          <w:rFonts w:ascii="Book Antiqua" w:eastAsia="Times New Roman" w:hAnsi="Book Antiqua" w:cs="Times New Roman"/>
          <w:b/>
          <w:bCs/>
          <w:spacing w:val="2"/>
          <w:sz w:val="20"/>
          <w:szCs w:val="20"/>
        </w:rPr>
        <w:t>Súmula 161. É da competência da Justiça Estadual autorizar o levantamento dos valores relativos ao PIS - PASEP e FGTS, em decorrência do falecimento do titular da conta.</w:t>
      </w:r>
    </w:p>
    <w:p w14:paraId="4D61C829" w14:textId="65314495" w:rsidR="004F286E" w:rsidRPr="00D83CBC" w:rsidRDefault="004F286E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  <w:r w:rsidRPr="004F286E">
        <w:rPr>
          <w:rFonts w:ascii="Book Antiqua" w:eastAsia="Times New Roman" w:hAnsi="Book Antiqua" w:cs="Times New Roman"/>
          <w:spacing w:val="2"/>
        </w:rPr>
        <w:t>Neste sentido, deve-se observar, também, o artigo 1º da Lei n.º 6.858/80, que regula sobre o Pagamento, aos Dependentes ou Sucessores, de Valores Não Recebidos em Vida pelos Respectivos Titulares, </w:t>
      </w:r>
      <w:r w:rsidRPr="004F286E">
        <w:rPr>
          <w:rFonts w:ascii="Book Antiqua" w:eastAsia="Times New Roman" w:hAnsi="Book Antiqua" w:cs="Times New Roman"/>
          <w:i/>
          <w:iCs/>
          <w:spacing w:val="2"/>
        </w:rPr>
        <w:t xml:space="preserve">in </w:t>
      </w:r>
      <w:proofErr w:type="spellStart"/>
      <w:r w:rsidRPr="004F286E">
        <w:rPr>
          <w:rFonts w:ascii="Book Antiqua" w:eastAsia="Times New Roman" w:hAnsi="Book Antiqua" w:cs="Times New Roman"/>
          <w:i/>
          <w:iCs/>
          <w:spacing w:val="2"/>
        </w:rPr>
        <w:t>verbis</w:t>
      </w:r>
      <w:proofErr w:type="spellEnd"/>
      <w:r w:rsidRPr="004F286E">
        <w:rPr>
          <w:rFonts w:ascii="Book Antiqua" w:eastAsia="Times New Roman" w:hAnsi="Book Antiqua" w:cs="Times New Roman"/>
          <w:spacing w:val="2"/>
        </w:rPr>
        <w:t>:</w:t>
      </w:r>
    </w:p>
    <w:p w14:paraId="2E20EFC2" w14:textId="77777777" w:rsidR="00D83CBC" w:rsidRPr="004F286E" w:rsidRDefault="00D83CBC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3B48A263" w14:textId="274E4EB1" w:rsidR="004F286E" w:rsidRPr="00D83CBC" w:rsidRDefault="004F286E" w:rsidP="00D83CBC">
      <w:pPr>
        <w:shd w:val="clear" w:color="auto" w:fill="FFFFFF"/>
        <w:spacing w:line="276" w:lineRule="auto"/>
        <w:ind w:left="1701"/>
        <w:rPr>
          <w:rFonts w:ascii="Book Antiqua" w:eastAsia="Times New Roman" w:hAnsi="Book Antiqua" w:cs="Times New Roman"/>
          <w:b/>
          <w:bCs/>
          <w:spacing w:val="2"/>
          <w:sz w:val="20"/>
          <w:szCs w:val="20"/>
        </w:rPr>
      </w:pPr>
      <w:r w:rsidRPr="004F286E">
        <w:rPr>
          <w:rFonts w:ascii="Book Antiqua" w:eastAsia="Times New Roman" w:hAnsi="Book Antiqua" w:cs="Times New Roman"/>
          <w:b/>
          <w:bCs/>
          <w:spacing w:val="2"/>
          <w:sz w:val="20"/>
          <w:szCs w:val="20"/>
        </w:rPr>
        <w:t>Art. 1º - Os valores devidos pelos empregadores aos empregados e os montantes das contas individuais do fundo de garantia do tempo de serviço e do fundo de participação PIS-PASEP, não recebidos em vida pelos respectivos titulares, serão pagos, em quotas iguais, aos dependentes habilitados perante a Previdência Social ou na forma da legislação específica dos servidores civis e militares, e, na sua falta, aos sucessores previstos na lei civil, indicados em alvará judicial, independentemente de inventário ou arrolamento.</w:t>
      </w:r>
    </w:p>
    <w:p w14:paraId="05FCAA15" w14:textId="77777777" w:rsidR="00D83CBC" w:rsidRPr="00D83CBC" w:rsidRDefault="00D83CBC" w:rsidP="00D83CBC">
      <w:pPr>
        <w:shd w:val="clear" w:color="auto" w:fill="FFFFFF"/>
        <w:spacing w:after="480" w:line="276" w:lineRule="auto"/>
        <w:rPr>
          <w:rFonts w:ascii="Book Antiqua" w:eastAsia="Times New Roman" w:hAnsi="Book Antiqua" w:cs="Times New Roman"/>
          <w:spacing w:val="2"/>
        </w:rPr>
      </w:pPr>
    </w:p>
    <w:p w14:paraId="6C8A9378" w14:textId="799FE40C" w:rsidR="004F286E" w:rsidRPr="004F286E" w:rsidRDefault="004F286E" w:rsidP="00D83CBC">
      <w:pPr>
        <w:shd w:val="clear" w:color="auto" w:fill="FFFFFF"/>
        <w:spacing w:after="480" w:line="276" w:lineRule="auto"/>
        <w:rPr>
          <w:rFonts w:ascii="Book Antiqua" w:eastAsia="Times New Roman" w:hAnsi="Book Antiqua" w:cs="Times New Roman"/>
          <w:spacing w:val="2"/>
        </w:rPr>
      </w:pPr>
      <w:r w:rsidRPr="004F286E">
        <w:rPr>
          <w:rFonts w:ascii="Book Antiqua" w:eastAsia="Times New Roman" w:hAnsi="Book Antiqua" w:cs="Times New Roman"/>
          <w:spacing w:val="2"/>
        </w:rPr>
        <w:t>No que tange ao valor disponível em conta poupança, aplica-se o disposto no mesmo diploma legal na forma do seu art. 2.º como segue:</w:t>
      </w:r>
    </w:p>
    <w:p w14:paraId="1B4844D4" w14:textId="77777777" w:rsidR="004F286E" w:rsidRPr="004F286E" w:rsidRDefault="004F286E" w:rsidP="00D83CBC">
      <w:pPr>
        <w:shd w:val="clear" w:color="auto" w:fill="FFFFFF"/>
        <w:spacing w:line="276" w:lineRule="auto"/>
        <w:ind w:left="1701"/>
        <w:rPr>
          <w:rFonts w:ascii="Book Antiqua" w:eastAsia="Times New Roman" w:hAnsi="Book Antiqua" w:cs="Times New Roman"/>
          <w:b/>
          <w:bCs/>
          <w:spacing w:val="2"/>
          <w:sz w:val="20"/>
          <w:szCs w:val="20"/>
        </w:rPr>
      </w:pPr>
      <w:r w:rsidRPr="004F286E">
        <w:rPr>
          <w:rFonts w:ascii="Book Antiqua" w:eastAsia="Times New Roman" w:hAnsi="Book Antiqua" w:cs="Times New Roman"/>
          <w:b/>
          <w:bCs/>
          <w:spacing w:val="2"/>
          <w:sz w:val="20"/>
          <w:szCs w:val="20"/>
        </w:rPr>
        <w:t>Art. 2º - O disposto nesta lei se aplica às restituições relativas ao Imposto de Renda e outros tributos, recolhidos por pessoa física, e, não existindo outros bens sujeitos a inventário, aos saldos bancários e de contas de cadernetas de poupança e fundos de investimento de valor até 500 (quinhentas) Obrigações do Tesouro Nacional.</w:t>
      </w:r>
    </w:p>
    <w:p w14:paraId="3E853196" w14:textId="491595B6" w:rsidR="004F286E" w:rsidRPr="00D83CBC" w:rsidRDefault="004F286E" w:rsidP="00D83CBC">
      <w:pPr>
        <w:shd w:val="clear" w:color="auto" w:fill="FFFFFF"/>
        <w:spacing w:line="276" w:lineRule="auto"/>
        <w:ind w:left="1701"/>
        <w:rPr>
          <w:rFonts w:ascii="Book Antiqua" w:eastAsia="Times New Roman" w:hAnsi="Book Antiqua" w:cs="Times New Roman"/>
          <w:b/>
          <w:bCs/>
          <w:spacing w:val="2"/>
          <w:sz w:val="20"/>
          <w:szCs w:val="20"/>
        </w:rPr>
      </w:pPr>
      <w:r w:rsidRPr="004F286E">
        <w:rPr>
          <w:rFonts w:ascii="Book Antiqua" w:eastAsia="Times New Roman" w:hAnsi="Book Antiqua" w:cs="Times New Roman"/>
          <w:b/>
          <w:bCs/>
          <w:spacing w:val="2"/>
          <w:sz w:val="20"/>
          <w:szCs w:val="20"/>
        </w:rPr>
        <w:t>Verifica-se da leitura do texto legal, a possibilidade de levantamento das quantias referidas nos moldes em que se postula, visto que se trata de baixo valor pecuniário e ainda que, os Requerentes são legítimos sucessores da falecida, na qualidade de ascendentes, como dispõe o artigo 1.829, Inciso II, do Código Civil.</w:t>
      </w:r>
    </w:p>
    <w:p w14:paraId="5C1D35CA" w14:textId="77777777" w:rsidR="00D83CBC" w:rsidRPr="004F286E" w:rsidRDefault="00D83CBC" w:rsidP="00D83CBC">
      <w:pPr>
        <w:shd w:val="clear" w:color="auto" w:fill="FFFFFF"/>
        <w:spacing w:line="276" w:lineRule="auto"/>
        <w:ind w:left="1701"/>
        <w:rPr>
          <w:rFonts w:ascii="Book Antiqua" w:eastAsia="Times New Roman" w:hAnsi="Book Antiqua" w:cs="Times New Roman"/>
          <w:b/>
          <w:bCs/>
          <w:spacing w:val="2"/>
          <w:sz w:val="20"/>
          <w:szCs w:val="20"/>
        </w:rPr>
      </w:pPr>
    </w:p>
    <w:p w14:paraId="16CC26A7" w14:textId="409AA0F8" w:rsidR="004F286E" w:rsidRPr="00D83CBC" w:rsidRDefault="004F286E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  <w:r w:rsidRPr="004F286E">
        <w:rPr>
          <w:rFonts w:ascii="Book Antiqua" w:eastAsia="Times New Roman" w:hAnsi="Book Antiqua" w:cs="Times New Roman"/>
          <w:spacing w:val="2"/>
        </w:rPr>
        <w:lastRenderedPageBreak/>
        <w:t xml:space="preserve">A imperiosidade do levantamento dos valores faz-se necessária, tendo em vista que </w:t>
      </w:r>
      <w:proofErr w:type="gramStart"/>
      <w:r w:rsidRPr="004F286E">
        <w:rPr>
          <w:rFonts w:ascii="Book Antiqua" w:eastAsia="Times New Roman" w:hAnsi="Book Antiqua" w:cs="Times New Roman"/>
          <w:spacing w:val="2"/>
        </w:rPr>
        <w:t>o mesmo</w:t>
      </w:r>
      <w:proofErr w:type="gramEnd"/>
      <w:r w:rsidRPr="004F286E">
        <w:rPr>
          <w:rFonts w:ascii="Book Antiqua" w:eastAsia="Times New Roman" w:hAnsi="Book Antiqua" w:cs="Times New Roman"/>
          <w:spacing w:val="2"/>
        </w:rPr>
        <w:t xml:space="preserve"> servirá para integrar a subsistência dos Requerentes. Tudo isso autoriza o levantamento </w:t>
      </w:r>
      <w:r w:rsidRPr="004F286E">
        <w:rPr>
          <w:rFonts w:ascii="Book Antiqua" w:eastAsia="Times New Roman" w:hAnsi="Book Antiqua" w:cs="Times New Roman"/>
          <w:i/>
          <w:iCs/>
          <w:spacing w:val="2"/>
        </w:rPr>
        <w:t>incontinenti </w:t>
      </w:r>
      <w:r w:rsidRPr="004F286E">
        <w:rPr>
          <w:rFonts w:ascii="Book Antiqua" w:eastAsia="Times New Roman" w:hAnsi="Book Antiqua" w:cs="Times New Roman"/>
          <w:spacing w:val="2"/>
        </w:rPr>
        <w:t>da verba, mediante a respectiva autorização judicial.</w:t>
      </w:r>
    </w:p>
    <w:p w14:paraId="071E2C7A" w14:textId="77777777" w:rsidR="00D83CBC" w:rsidRPr="004F286E" w:rsidRDefault="00D83CBC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b/>
          <w:bCs/>
          <w:spacing w:val="2"/>
          <w:sz w:val="24"/>
          <w:szCs w:val="24"/>
        </w:rPr>
      </w:pPr>
    </w:p>
    <w:p w14:paraId="30F3A25F" w14:textId="25BE6DFC" w:rsidR="004F286E" w:rsidRPr="00D83CBC" w:rsidRDefault="004F286E" w:rsidP="00D83CBC">
      <w:pPr>
        <w:pStyle w:val="PargrafodaLista"/>
        <w:numPr>
          <w:ilvl w:val="0"/>
          <w:numId w:val="3"/>
        </w:numPr>
        <w:shd w:val="clear" w:color="auto" w:fill="FFFFFF"/>
        <w:spacing w:line="276" w:lineRule="auto"/>
        <w:rPr>
          <w:rFonts w:ascii="Book Antiqua" w:eastAsia="Times New Roman" w:hAnsi="Book Antiqua" w:cs="Times New Roman"/>
          <w:b/>
          <w:bCs/>
          <w:spacing w:val="2"/>
          <w:sz w:val="24"/>
          <w:szCs w:val="24"/>
        </w:rPr>
      </w:pPr>
      <w:r w:rsidRPr="00D83CBC">
        <w:rPr>
          <w:rFonts w:ascii="Book Antiqua" w:eastAsia="Times New Roman" w:hAnsi="Book Antiqua" w:cs="Times New Roman"/>
          <w:b/>
          <w:bCs/>
          <w:spacing w:val="2"/>
          <w:sz w:val="24"/>
          <w:szCs w:val="24"/>
        </w:rPr>
        <w:t xml:space="preserve"> DOS PEDIDOS</w:t>
      </w:r>
      <w:r w:rsidR="00D83CBC" w:rsidRPr="00D83CBC">
        <w:rPr>
          <w:rFonts w:ascii="Book Antiqua" w:eastAsia="Times New Roman" w:hAnsi="Book Antiqua" w:cs="Times New Roman"/>
          <w:b/>
          <w:bCs/>
          <w:spacing w:val="2"/>
          <w:sz w:val="24"/>
          <w:szCs w:val="24"/>
        </w:rPr>
        <w:t>:</w:t>
      </w:r>
    </w:p>
    <w:p w14:paraId="158E1ABE" w14:textId="77777777" w:rsidR="00D83CBC" w:rsidRPr="00D83CBC" w:rsidRDefault="00D83CBC" w:rsidP="00D83CBC">
      <w:pPr>
        <w:pStyle w:val="PargrafodaLista"/>
        <w:shd w:val="clear" w:color="auto" w:fill="FFFFFF"/>
        <w:spacing w:line="276" w:lineRule="auto"/>
        <w:ind w:left="1080"/>
        <w:rPr>
          <w:rFonts w:ascii="Book Antiqua" w:eastAsia="Times New Roman" w:hAnsi="Book Antiqua" w:cs="Times New Roman"/>
          <w:spacing w:val="2"/>
        </w:rPr>
      </w:pPr>
    </w:p>
    <w:p w14:paraId="0DA8D7DA" w14:textId="5B4070D8" w:rsidR="004F286E" w:rsidRPr="00D83CBC" w:rsidRDefault="004F286E" w:rsidP="00D83CBC">
      <w:pPr>
        <w:shd w:val="clear" w:color="auto" w:fill="FFFFFF"/>
        <w:spacing w:line="276" w:lineRule="auto"/>
        <w:ind w:firstLine="720"/>
        <w:rPr>
          <w:rFonts w:ascii="Book Antiqua" w:eastAsia="Times New Roman" w:hAnsi="Book Antiqua" w:cs="Times New Roman"/>
          <w:spacing w:val="2"/>
        </w:rPr>
      </w:pPr>
      <w:r w:rsidRPr="004F286E">
        <w:rPr>
          <w:rFonts w:ascii="Book Antiqua" w:eastAsia="Times New Roman" w:hAnsi="Book Antiqua" w:cs="Times New Roman"/>
          <w:spacing w:val="2"/>
        </w:rPr>
        <w:t>Diante de todo o exposto, pede-se, encarecidamente, a Vossa Excelência, que seja </w:t>
      </w:r>
      <w:r w:rsidRPr="004F286E">
        <w:rPr>
          <w:rFonts w:ascii="Book Antiqua" w:eastAsia="Times New Roman" w:hAnsi="Book Antiqua" w:cs="Times New Roman"/>
          <w:b/>
          <w:bCs/>
          <w:spacing w:val="2"/>
        </w:rPr>
        <w:t>concedido</w:t>
      </w:r>
      <w:r w:rsidRPr="004F286E">
        <w:rPr>
          <w:rFonts w:ascii="Book Antiqua" w:eastAsia="Times New Roman" w:hAnsi="Book Antiqua" w:cs="Times New Roman"/>
          <w:spacing w:val="2"/>
        </w:rPr>
        <w:t xml:space="preserve"> o presente pedido de Alvará Judicial em favor dos Autores, autorizando a liberação dos valores de R$ </w:t>
      </w:r>
      <w:proofErr w:type="spellStart"/>
      <w:r w:rsidR="00D83CBC">
        <w:rPr>
          <w:rFonts w:ascii="Book Antiqua" w:eastAsia="Times New Roman" w:hAnsi="Book Antiqua" w:cs="Times New Roman"/>
          <w:spacing w:val="2"/>
        </w:rPr>
        <w:t>xxxxx</w:t>
      </w:r>
      <w:proofErr w:type="spellEnd"/>
      <w:r w:rsidR="00D83CBC">
        <w:rPr>
          <w:rFonts w:ascii="Book Antiqua" w:eastAsia="Times New Roman" w:hAnsi="Book Antiqua" w:cs="Times New Roman"/>
          <w:spacing w:val="2"/>
        </w:rPr>
        <w:t xml:space="preserve"> </w:t>
      </w:r>
      <w:r w:rsidRPr="004F286E">
        <w:rPr>
          <w:rFonts w:ascii="Book Antiqua" w:eastAsia="Times New Roman" w:hAnsi="Book Antiqua" w:cs="Times New Roman"/>
          <w:spacing w:val="2"/>
        </w:rPr>
        <w:t>e permitindo aos Requerentes o respectivo saque.</w:t>
      </w:r>
    </w:p>
    <w:p w14:paraId="5002B5F3" w14:textId="77777777" w:rsidR="00D83CBC" w:rsidRPr="004F286E" w:rsidRDefault="00D83CBC" w:rsidP="00D83CBC">
      <w:p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216D88A9" w14:textId="77777777" w:rsidR="004F286E" w:rsidRPr="004F286E" w:rsidRDefault="004F286E" w:rsidP="00D83CBC">
      <w:pPr>
        <w:shd w:val="clear" w:color="auto" w:fill="FFFFFF"/>
        <w:spacing w:after="480" w:line="276" w:lineRule="auto"/>
        <w:rPr>
          <w:rFonts w:ascii="Book Antiqua" w:eastAsia="Times New Roman" w:hAnsi="Book Antiqua" w:cs="Times New Roman"/>
          <w:spacing w:val="2"/>
        </w:rPr>
      </w:pPr>
      <w:r w:rsidRPr="004F286E">
        <w:rPr>
          <w:rFonts w:ascii="Book Antiqua" w:eastAsia="Times New Roman" w:hAnsi="Book Antiqua" w:cs="Times New Roman"/>
          <w:spacing w:val="2"/>
        </w:rPr>
        <w:t>No mais, requer-se:</w:t>
      </w:r>
    </w:p>
    <w:p w14:paraId="70C1A483" w14:textId="625B7937" w:rsidR="004F286E" w:rsidRPr="00D83CBC" w:rsidRDefault="004F286E" w:rsidP="00D83CBC">
      <w:pPr>
        <w:pStyle w:val="PargrafodaLista"/>
        <w:numPr>
          <w:ilvl w:val="0"/>
          <w:numId w:val="4"/>
        </w:num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  <w:r w:rsidRPr="00D83CBC">
        <w:rPr>
          <w:rFonts w:ascii="Book Antiqua" w:eastAsia="Times New Roman" w:hAnsi="Book Antiqua" w:cs="Times New Roman"/>
          <w:spacing w:val="2"/>
        </w:rPr>
        <w:t>A concessão do benefício da Gratuidade de Justiça, por se tratar de pessoas pobres na acepção do termo, conforme Declarações de Pobreza em anexo;</w:t>
      </w:r>
    </w:p>
    <w:p w14:paraId="6A462CF6" w14:textId="77777777" w:rsidR="00D83CBC" w:rsidRPr="00D83CBC" w:rsidRDefault="00D83CBC" w:rsidP="00D83CBC">
      <w:pPr>
        <w:pStyle w:val="PargrafodaLista"/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2C917DF0" w14:textId="2137CE7B" w:rsidR="00D83CBC" w:rsidRPr="00D83CBC" w:rsidRDefault="00D83CBC" w:rsidP="00D83CBC">
      <w:pPr>
        <w:pStyle w:val="PargrafodaLista"/>
        <w:numPr>
          <w:ilvl w:val="0"/>
          <w:numId w:val="4"/>
        </w:numPr>
        <w:shd w:val="clear" w:color="auto" w:fill="FFFFFF"/>
        <w:spacing w:line="276" w:lineRule="auto"/>
        <w:rPr>
          <w:rFonts w:ascii="Book Antiqua" w:eastAsia="Times New Roman" w:hAnsi="Book Antiqua" w:cs="Times New Roman"/>
          <w:spacing w:val="2"/>
        </w:rPr>
      </w:pPr>
      <w:r w:rsidRPr="00D83CBC">
        <w:rPr>
          <w:rFonts w:ascii="Book Antiqua" w:eastAsia="Times New Roman" w:hAnsi="Book Antiqua" w:cs="Times New Roman"/>
          <w:spacing w:val="2"/>
        </w:rPr>
        <w:t xml:space="preserve">Que seja oficiado o banco </w:t>
      </w:r>
      <w:proofErr w:type="spellStart"/>
      <w:r w:rsidRPr="00D83CBC">
        <w:rPr>
          <w:rFonts w:ascii="Book Antiqua" w:eastAsia="Times New Roman" w:hAnsi="Book Antiqua" w:cs="Times New Roman"/>
          <w:spacing w:val="2"/>
        </w:rPr>
        <w:t>xxxx</w:t>
      </w:r>
      <w:proofErr w:type="spellEnd"/>
      <w:r w:rsidRPr="00D83CBC">
        <w:rPr>
          <w:rFonts w:ascii="Book Antiqua" w:eastAsia="Times New Roman" w:hAnsi="Book Antiqua" w:cs="Times New Roman"/>
          <w:spacing w:val="2"/>
        </w:rPr>
        <w:t xml:space="preserve"> para que informe o extrato analítico da conta do falecido, sob número de agência e conta </w:t>
      </w:r>
      <w:proofErr w:type="spellStart"/>
      <w:r w:rsidRPr="00D83CBC">
        <w:rPr>
          <w:rFonts w:ascii="Book Antiqua" w:eastAsia="Times New Roman" w:hAnsi="Book Antiqua" w:cs="Times New Roman"/>
          <w:spacing w:val="2"/>
        </w:rPr>
        <w:t>xxx</w:t>
      </w:r>
      <w:proofErr w:type="spellEnd"/>
    </w:p>
    <w:p w14:paraId="1387F2B1" w14:textId="77777777" w:rsidR="00D83CBC" w:rsidRPr="00D83CBC" w:rsidRDefault="00D83CBC" w:rsidP="00D83CBC">
      <w:pPr>
        <w:pStyle w:val="PargrafodaLista"/>
        <w:spacing w:line="276" w:lineRule="auto"/>
        <w:rPr>
          <w:rFonts w:ascii="Book Antiqua" w:eastAsia="Times New Roman" w:hAnsi="Book Antiqua" w:cs="Times New Roman"/>
          <w:spacing w:val="2"/>
        </w:rPr>
      </w:pPr>
    </w:p>
    <w:p w14:paraId="4D33A6C4" w14:textId="7EAEB173" w:rsidR="004F286E" w:rsidRPr="00D83CBC" w:rsidRDefault="004F286E" w:rsidP="00D83CBC">
      <w:pPr>
        <w:pStyle w:val="PargrafodaLista"/>
        <w:numPr>
          <w:ilvl w:val="0"/>
          <w:numId w:val="4"/>
        </w:numPr>
        <w:shd w:val="clear" w:color="auto" w:fill="FFFFFF"/>
        <w:spacing w:line="276" w:lineRule="auto"/>
        <w:rPr>
          <w:rStyle w:val="Hyperlink"/>
          <w:rFonts w:ascii="Book Antiqua" w:eastAsia="Times New Roman" w:hAnsi="Book Antiqua" w:cs="Times New Roman"/>
          <w:color w:val="auto"/>
          <w:spacing w:val="2"/>
          <w:u w:val="none"/>
        </w:rPr>
      </w:pPr>
      <w:hyperlink r:id="rId20" w:tgtFrame="_blank" w:history="1">
        <w:r w:rsidR="00D83CBC"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Q</w:t>
        </w:r>
        <w:r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 xml:space="preserve">ue seja julgado procedente o pedido, determinando a expedição dos competentes e necessários ALVARÁS JUDICIAIS, em nome do (a) requerente, a fim de que possa receber os valores que estiverem retidos em nome do (a) falecido (a) NOME DO </w:t>
        </w:r>
        <w:proofErr w:type="gramStart"/>
        <w:r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FALECIDO  e</w:t>
        </w:r>
        <w:proofErr w:type="gramEnd"/>
        <w:r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 xml:space="preserve">  NOME DO BANCO, mais eventuais acréscimos até a data do efetivo pagamento;</w:t>
        </w:r>
      </w:hyperlink>
    </w:p>
    <w:p w14:paraId="5191859E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</w:p>
    <w:p w14:paraId="1AC5D797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ind w:left="720"/>
        <w:jc w:val="both"/>
        <w:rPr>
          <w:rFonts w:ascii="Book Antiqua" w:hAnsi="Book Antiqua" w:cs="Arial"/>
          <w:spacing w:val="2"/>
        </w:rPr>
      </w:pPr>
    </w:p>
    <w:p w14:paraId="32EC82F7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ind w:firstLine="360"/>
        <w:jc w:val="both"/>
        <w:rPr>
          <w:rFonts w:ascii="Book Antiqua" w:hAnsi="Book Antiqua" w:cs="Arial"/>
          <w:spacing w:val="2"/>
        </w:rPr>
      </w:pPr>
      <w:hyperlink r:id="rId21" w:tgtFrame="_blank" w:history="1">
        <w:r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Protesta provar o alegado por meio das provas documentais que acompanham esta inicial, sem prejuízo das demais provas em direito admitidas.</w:t>
        </w:r>
      </w:hyperlink>
    </w:p>
    <w:p w14:paraId="3668FFAB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</w:p>
    <w:p w14:paraId="752516F7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  <w:r w:rsidRPr="00D83CBC">
        <w:rPr>
          <w:rFonts w:ascii="Book Antiqua" w:hAnsi="Book Antiqua" w:cs="Arial"/>
          <w:spacing w:val="2"/>
        </w:rPr>
        <w:t>Dá-se a causa o valor de R$....</w:t>
      </w:r>
    </w:p>
    <w:p w14:paraId="2AEEE563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both"/>
        <w:rPr>
          <w:rFonts w:ascii="Book Antiqua" w:hAnsi="Book Antiqua" w:cs="Arial"/>
          <w:spacing w:val="2"/>
        </w:rPr>
      </w:pPr>
    </w:p>
    <w:p w14:paraId="29E2D0EC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center"/>
        <w:rPr>
          <w:rFonts w:ascii="Book Antiqua" w:hAnsi="Book Antiqua" w:cs="Arial"/>
          <w:spacing w:val="2"/>
        </w:rPr>
      </w:pPr>
      <w:hyperlink r:id="rId22" w:tgtFrame="_blank" w:history="1">
        <w:r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Nestes termos, pede deferimento.</w:t>
        </w:r>
      </w:hyperlink>
    </w:p>
    <w:p w14:paraId="7D75ABEC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center"/>
        <w:rPr>
          <w:rFonts w:ascii="Book Antiqua" w:hAnsi="Book Antiqua" w:cs="Arial"/>
          <w:spacing w:val="2"/>
        </w:rPr>
      </w:pPr>
      <w:hyperlink r:id="rId23" w:tgtFrame="_blank" w:history="1">
        <w:r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CIDADE, Data/mês e ano</w:t>
        </w:r>
      </w:hyperlink>
    </w:p>
    <w:p w14:paraId="265173CC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center"/>
        <w:rPr>
          <w:rFonts w:ascii="Book Antiqua" w:hAnsi="Book Antiqua" w:cs="Arial"/>
          <w:spacing w:val="2"/>
        </w:rPr>
      </w:pPr>
      <w:hyperlink r:id="rId24" w:tgtFrame="_blank" w:history="1">
        <w:r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ADVOGADO</w:t>
        </w:r>
      </w:hyperlink>
    </w:p>
    <w:p w14:paraId="1DD424B7" w14:textId="77777777" w:rsidR="004F286E" w:rsidRPr="00D83CBC" w:rsidRDefault="004F286E" w:rsidP="00D83CBC">
      <w:pPr>
        <w:pStyle w:val="NormalWeb"/>
        <w:shd w:val="clear" w:color="auto" w:fill="FFFFFF"/>
        <w:spacing w:before="0" w:after="0" w:line="276" w:lineRule="auto"/>
        <w:jc w:val="center"/>
        <w:rPr>
          <w:rFonts w:ascii="Book Antiqua" w:hAnsi="Book Antiqua" w:cs="Arial"/>
          <w:spacing w:val="2"/>
        </w:rPr>
      </w:pPr>
      <w:hyperlink r:id="rId25" w:tgtFrame="_blank" w:history="1">
        <w:r w:rsidRPr="00D83CBC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OAB</w:t>
        </w:r>
      </w:hyperlink>
    </w:p>
    <w:p w14:paraId="6E913E85" w14:textId="77777777" w:rsidR="004F286E" w:rsidRPr="0057799E" w:rsidRDefault="004F286E" w:rsidP="004F286E">
      <w:pPr>
        <w:spacing w:line="360" w:lineRule="auto"/>
        <w:jc w:val="center"/>
        <w:rPr>
          <w:rStyle w:val="Forte"/>
          <w:rFonts w:ascii="Garamond" w:hAnsi="Garamond"/>
          <w:b w:val="0"/>
          <w:bCs w:val="0"/>
          <w:sz w:val="24"/>
          <w:szCs w:val="24"/>
        </w:rPr>
      </w:pPr>
    </w:p>
    <w:p w14:paraId="6DC38435" w14:textId="7A4EC50E" w:rsidR="00914CEB" w:rsidRDefault="00914CEB">
      <w:pPr>
        <w:jc w:val="center"/>
        <w:rPr>
          <w:rFonts w:ascii="Book Antiqua" w:eastAsia="Book Antiqua" w:hAnsi="Book Antiqua" w:cs="Book Antiqua"/>
          <w:b/>
          <w:color w:val="FF0000"/>
          <w:sz w:val="24"/>
          <w:szCs w:val="24"/>
        </w:rPr>
      </w:pPr>
    </w:p>
    <w:sectPr w:rsidR="00914CEB">
      <w:headerReference w:type="default" r:id="rId26"/>
      <w:pgSz w:w="11906" w:h="16838"/>
      <w:pgMar w:top="293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4C350" w14:textId="77777777" w:rsidR="001B7B50" w:rsidRDefault="001B7B50">
      <w:pPr>
        <w:spacing w:line="240" w:lineRule="auto"/>
      </w:pPr>
      <w:r>
        <w:separator/>
      </w:r>
    </w:p>
  </w:endnote>
  <w:endnote w:type="continuationSeparator" w:id="0">
    <w:p w14:paraId="3F4BBEA6" w14:textId="77777777" w:rsidR="001B7B50" w:rsidRDefault="001B7B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F7E34" w14:textId="77777777" w:rsidR="001B7B50" w:rsidRDefault="001B7B50">
      <w:pPr>
        <w:spacing w:line="240" w:lineRule="auto"/>
      </w:pPr>
      <w:r>
        <w:separator/>
      </w:r>
    </w:p>
  </w:footnote>
  <w:footnote w:type="continuationSeparator" w:id="0">
    <w:p w14:paraId="2762A678" w14:textId="77777777" w:rsidR="001B7B50" w:rsidRDefault="001B7B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F608D" w14:textId="77777777" w:rsidR="00914CEB" w:rsidRDefault="001B7B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C868B0E" wp14:editId="2C3FDD11">
          <wp:simplePos x="0" y="0"/>
          <wp:positionH relativeFrom="column">
            <wp:posOffset>-1038225</wp:posOffset>
          </wp:positionH>
          <wp:positionV relativeFrom="paragraph">
            <wp:posOffset>-449580</wp:posOffset>
          </wp:positionV>
          <wp:extent cx="7509587" cy="813600"/>
          <wp:effectExtent l="0" t="0" r="0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9587" cy="813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C5C4A"/>
    <w:multiLevelType w:val="hybridMultilevel"/>
    <w:tmpl w:val="66A8BAE8"/>
    <w:lvl w:ilvl="0" w:tplc="BF2464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56405"/>
    <w:multiLevelType w:val="hybridMultilevel"/>
    <w:tmpl w:val="66F0734C"/>
    <w:lvl w:ilvl="0" w:tplc="4C28F1D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F3140"/>
    <w:multiLevelType w:val="hybridMultilevel"/>
    <w:tmpl w:val="0A887E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C7980"/>
    <w:multiLevelType w:val="hybridMultilevel"/>
    <w:tmpl w:val="318E76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CEB"/>
    <w:rsid w:val="001B7B50"/>
    <w:rsid w:val="004F286E"/>
    <w:rsid w:val="00914CEB"/>
    <w:rsid w:val="00D8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E85504"/>
  <w15:docId w15:val="{16CA3A27-7E1F-544F-B671-92365A12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 Light" w:eastAsia="Calibri Light" w:hAnsi="Calibri Light" w:cs="Calibri Light"/>
        <w:sz w:val="22"/>
        <w:szCs w:val="22"/>
        <w:lang w:val="pt-BR" w:eastAsia="pt-BR" w:bidi="ar-SA"/>
      </w:rPr>
    </w:rPrDefault>
    <w:pPrDefault>
      <w:pPr>
        <w:spacing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B5D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532BF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2BF6"/>
  </w:style>
  <w:style w:type="paragraph" w:styleId="Rodap">
    <w:name w:val="footer"/>
    <w:basedOn w:val="Normal"/>
    <w:link w:val="RodapChar"/>
    <w:uiPriority w:val="99"/>
    <w:unhideWhenUsed/>
    <w:rsid w:val="00532BF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2BF6"/>
  </w:style>
  <w:style w:type="paragraph" w:styleId="PargrafodaLista">
    <w:name w:val="List Paragraph"/>
    <w:basedOn w:val="Normal"/>
    <w:uiPriority w:val="34"/>
    <w:qFormat/>
    <w:rsid w:val="00D81B5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747623"/>
    <w:pPr>
      <w:spacing w:before="100" w:after="100" w:line="240" w:lineRule="auto"/>
      <w:jc w:val="left"/>
    </w:pPr>
    <w:rPr>
      <w:rFonts w:ascii="Arial Unicode MS" w:eastAsia="Arial Unicode MS" w:hAnsi="Arial Unicode MS" w:cs="Times New Roman"/>
      <w:color w:val="000000"/>
      <w:sz w:val="24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4F286E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4F286E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4F28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8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aulaherculano.adv/" TargetMode="External"/><Relationship Id="rId13" Type="http://schemas.openxmlformats.org/officeDocument/2006/relationships/hyperlink" Target="https://www.instagram.com/paulaherculano.adv/" TargetMode="External"/><Relationship Id="rId18" Type="http://schemas.openxmlformats.org/officeDocument/2006/relationships/hyperlink" Target="https://www.jusbrasil.com.br/legislacao/103883/lei-de-criacao-do-pasep-lei-complementar-8-70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instagram.com/paulaherculano.adv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instagram.com/paulaherculano.adv/" TargetMode="External"/><Relationship Id="rId17" Type="http://schemas.openxmlformats.org/officeDocument/2006/relationships/hyperlink" Target="https://www.jusbrasil.com.br/legislacao/103882/lei-de-criacao-do-pis-lei-complementar-7-70" TargetMode="External"/><Relationship Id="rId25" Type="http://schemas.openxmlformats.org/officeDocument/2006/relationships/hyperlink" Target="https://www.instagram.com/paulaherculano.adv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aulaherculano.adv/" TargetMode="External"/><Relationship Id="rId20" Type="http://schemas.openxmlformats.org/officeDocument/2006/relationships/hyperlink" Target="https://www.instagram.com/paulaherculano.adv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paulaherculano.adv/" TargetMode="External"/><Relationship Id="rId24" Type="http://schemas.openxmlformats.org/officeDocument/2006/relationships/hyperlink" Target="https://www.instagram.com/paulaherculano.ad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jusbrasil.com.br/legislacao/128300/lei-6858-80" TargetMode="External"/><Relationship Id="rId23" Type="http://schemas.openxmlformats.org/officeDocument/2006/relationships/hyperlink" Target="https://www.instagram.com/paulaherculano.adv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instagram.com/paulaherculano.adv/" TargetMode="External"/><Relationship Id="rId19" Type="http://schemas.openxmlformats.org/officeDocument/2006/relationships/hyperlink" Target="https://www.instagram.com/paulaherculano.ad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aulaherculano.adv/" TargetMode="External"/><Relationship Id="rId14" Type="http://schemas.openxmlformats.org/officeDocument/2006/relationships/hyperlink" Target="https://www.instagram.com/paulaherculano.adv/" TargetMode="External"/><Relationship Id="rId22" Type="http://schemas.openxmlformats.org/officeDocument/2006/relationships/hyperlink" Target="https://www.instagram.com/paulaherculano.adv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IVDS830qoWAv2S0kSrPK0K1srw==">AMUW2mXk9ravZoRh5T4MRk5qKvrRmRrS5GmSqJVl0W/UyuBiRBTkvdi9iYIlwFJYFoxIEPNK+fNEW8VkVgcD3L7nFGXgIy7mzoX3CI6zxm7GRkTAg0EXcMQ=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1374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Andressa Queiroz</dc:creator>
  <cp:lastModifiedBy>Ana Grazielli Souza Santos</cp:lastModifiedBy>
  <cp:revision>2</cp:revision>
  <dcterms:created xsi:type="dcterms:W3CDTF">2021-12-09T03:21:00Z</dcterms:created>
  <dcterms:modified xsi:type="dcterms:W3CDTF">2021-12-09T03:21:00Z</dcterms:modified>
</cp:coreProperties>
</file>